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w:t>
      </w:r>
      <w:r>
        <w:rPr>
          <w:rFonts w:ascii="Times New Roman" w:cs="Times New Roman" w:eastAsia="Times New Roman" w:hAnsi="Times New Roman"/>
          <w:sz w:val="19"/>
          <w:szCs w:val="19"/>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5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3"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For the fiscal year ended </w:t>
      </w:r>
      <w:r>
        <w:rPr>
          <w:rFonts w:ascii="Times New Roman" w:cs="Times New Roman" w:eastAsia="Times New Roman" w:hAnsi="Times New Roman"/>
          <w:sz w:val="17"/>
          <w:szCs w:val="17"/>
          <w:b w:val="1"/>
          <w:bCs w:val="1"/>
          <w:color w:val="auto"/>
        </w:rPr>
        <w:t>December 31, 2025</w:t>
      </w:r>
    </w:p>
    <w:p>
      <w:pPr>
        <w:spacing w:after="0" w:line="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0"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000-23999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11240" w:type="dxa"/>
            <w:vAlign w:val="bottom"/>
            <w:gridSpan w:val="7"/>
          </w:tcPr>
          <w:p>
            <w:pPr>
              <w:ind w:left="3500"/>
              <w:spacing w:after="0"/>
              <w:rPr>
                <w:sz w:val="20"/>
                <w:szCs w:val="20"/>
                <w:color w:val="auto"/>
              </w:rPr>
            </w:pPr>
            <w:r>
              <w:rPr>
                <w:rFonts w:ascii="Times New Roman" w:cs="Times New Roman" w:eastAsia="Times New Roman" w:hAnsi="Times New Roman"/>
                <w:sz w:val="36"/>
                <w:szCs w:val="36"/>
                <w:b w:val="1"/>
                <w:bCs w:val="1"/>
                <w:color w:val="auto"/>
              </w:rPr>
              <w:t>Manhattan Associates, Inc.</w:t>
            </w:r>
          </w:p>
        </w:tc>
        <w:tc>
          <w:tcPr>
            <w:tcW w:w="0" w:type="dxa"/>
            <w:vAlign w:val="bottom"/>
          </w:tcPr>
          <w:p>
            <w:pPr>
              <w:spacing w:after="0"/>
              <w:rPr>
                <w:sz w:val="1"/>
                <w:szCs w:val="1"/>
                <w:color w:val="auto"/>
              </w:rPr>
            </w:pPr>
          </w:p>
        </w:tc>
      </w:tr>
      <w:tr>
        <w:trPr>
          <w:trHeight w:val="212"/>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100"/>
        </w:trPr>
        <w:tc>
          <w:tcPr>
            <w:tcW w:w="45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6460" w:type="dxa"/>
            <w:vAlign w:val="bottom"/>
            <w:gridSpan w:val="4"/>
          </w:tcPr>
          <w:p>
            <w:pPr>
              <w:jc w:val="center"/>
              <w:ind w:right="2700"/>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460" w:type="dxa"/>
            <w:vAlign w:val="bottom"/>
            <w:gridSpan w:val="4"/>
          </w:tcPr>
          <w:p>
            <w:pPr>
              <w:jc w:val="center"/>
              <w:ind w:right="27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jc w:val="right"/>
              <w:ind w:right="1450"/>
              <w:spacing w:after="0"/>
              <w:rPr>
                <w:sz w:val="20"/>
                <w:szCs w:val="20"/>
                <w:color w:val="auto"/>
              </w:rPr>
            </w:pPr>
            <w:r>
              <w:rPr>
                <w:rFonts w:ascii="Times New Roman" w:cs="Times New Roman" w:eastAsia="Times New Roman" w:hAnsi="Times New Roman"/>
                <w:sz w:val="13"/>
                <w:szCs w:val="13"/>
                <w:b w:val="1"/>
                <w:bCs w:val="1"/>
                <w:color w:val="auto"/>
              </w:rPr>
              <w:t>58-2373424</w:t>
            </w:r>
          </w:p>
        </w:tc>
        <w:tc>
          <w:tcPr>
            <w:tcW w:w="0" w:type="dxa"/>
            <w:vAlign w:val="bottom"/>
          </w:tcPr>
          <w:p>
            <w:pPr>
              <w:spacing w:after="0"/>
              <w:rPr>
                <w:sz w:val="1"/>
                <w:szCs w:val="1"/>
                <w:color w:val="auto"/>
              </w:rPr>
            </w:pPr>
          </w:p>
        </w:tc>
      </w:tr>
      <w:tr>
        <w:trPr>
          <w:trHeight w:val="148"/>
        </w:trPr>
        <w:tc>
          <w:tcPr>
            <w:tcW w:w="6460" w:type="dxa"/>
            <w:vAlign w:val="bottom"/>
            <w:gridSpan w:val="4"/>
          </w:tcPr>
          <w:p>
            <w:pPr>
              <w:jc w:val="center"/>
              <w:ind w:right="2700"/>
              <w:spacing w:after="0"/>
              <w:rPr>
                <w:sz w:val="20"/>
                <w:szCs w:val="20"/>
                <w:color w:val="auto"/>
              </w:rPr>
            </w:pPr>
            <w:r>
              <w:rPr>
                <w:rFonts w:ascii="Times New Roman" w:cs="Times New Roman" w:eastAsia="Times New Roman" w:hAnsi="Times New Roman"/>
                <w:sz w:val="13"/>
                <w:szCs w:val="13"/>
                <w:b w:val="1"/>
                <w:bCs w:val="1"/>
                <w:color w:val="auto"/>
              </w:rPr>
              <w:t>incorporation or organization+ )</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jc w:val="center"/>
              <w:ind w:left="510"/>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6460" w:type="dxa"/>
            <w:vAlign w:val="bottom"/>
            <w:gridSpan w:val="4"/>
            <w:vMerge w:val="restart"/>
          </w:tcPr>
          <w:p>
            <w:pPr>
              <w:jc w:val="center"/>
              <w:ind w:right="2700"/>
              <w:spacing w:after="0"/>
              <w:rPr>
                <w:sz w:val="20"/>
                <w:szCs w:val="20"/>
                <w:color w:val="auto"/>
              </w:rPr>
            </w:pPr>
            <w:r>
              <w:rPr>
                <w:rFonts w:ascii="Times New Roman" w:cs="Times New Roman" w:eastAsia="Times New Roman" w:hAnsi="Times New Roman"/>
                <w:sz w:val="16"/>
                <w:szCs w:val="16"/>
                <w:b w:val="1"/>
                <w:bCs w:val="1"/>
                <w:color w:val="auto"/>
              </w:rPr>
              <w:t>2300 Windy Ridge Parkway, Tenth Floor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80" w:type="dxa"/>
            <w:vAlign w:val="bottom"/>
          </w:tcPr>
          <w:p>
            <w:pPr>
              <w:jc w:val="center"/>
              <w:ind w:left="51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87"/>
        </w:trPr>
        <w:tc>
          <w:tcPr>
            <w:tcW w:w="64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60" w:type="dxa"/>
            <w:vAlign w:val="bottom"/>
            <w:gridSpan w:val="4"/>
          </w:tcPr>
          <w:p>
            <w:pPr>
              <w:jc w:val="center"/>
              <w:ind w:right="2700"/>
              <w:spacing w:after="0"/>
              <w:rPr>
                <w:sz w:val="20"/>
                <w:szCs w:val="20"/>
                <w:color w:val="auto"/>
              </w:rPr>
            </w:pPr>
            <w:r>
              <w:rPr>
                <w:rFonts w:ascii="Times New Roman" w:cs="Times New Roman" w:eastAsia="Times New Roman" w:hAnsi="Times New Roman"/>
                <w:sz w:val="16"/>
                <w:szCs w:val="16"/>
                <w:b w:val="1"/>
                <w:bCs w:val="1"/>
                <w:color w:val="auto"/>
              </w:rPr>
              <w:t>Atlanta, Georgia</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Pr>
          <w:p>
            <w:pPr>
              <w:jc w:val="right"/>
              <w:ind w:right="1570"/>
              <w:spacing w:after="0"/>
              <w:rPr>
                <w:sz w:val="20"/>
                <w:szCs w:val="20"/>
                <w:color w:val="auto"/>
              </w:rPr>
            </w:pPr>
            <w:r>
              <w:rPr>
                <w:rFonts w:ascii="Times New Roman" w:cs="Times New Roman" w:eastAsia="Times New Roman" w:hAnsi="Times New Roman"/>
                <w:sz w:val="16"/>
                <w:szCs w:val="16"/>
                <w:b w:val="1"/>
                <w:bCs w:val="1"/>
                <w:color w:val="auto"/>
              </w:rPr>
              <w:t>30339</w:t>
            </w:r>
          </w:p>
        </w:tc>
        <w:tc>
          <w:tcPr>
            <w:tcW w:w="0" w:type="dxa"/>
            <w:vAlign w:val="bottom"/>
          </w:tcPr>
          <w:p>
            <w:pPr>
              <w:spacing w:after="0"/>
              <w:rPr>
                <w:sz w:val="1"/>
                <w:szCs w:val="1"/>
                <w:color w:val="auto"/>
              </w:rPr>
            </w:pPr>
          </w:p>
        </w:tc>
      </w:tr>
      <w:tr>
        <w:trPr>
          <w:trHeight w:val="178"/>
        </w:trPr>
        <w:tc>
          <w:tcPr>
            <w:tcW w:w="6460" w:type="dxa"/>
            <w:vAlign w:val="bottom"/>
            <w:gridSpan w:val="4"/>
          </w:tcPr>
          <w:p>
            <w:pPr>
              <w:jc w:val="center"/>
              <w:ind w:right="2720"/>
              <w:spacing w:after="0"/>
              <w:rPr>
                <w:sz w:val="20"/>
                <w:szCs w:val="20"/>
                <w:color w:val="auto"/>
              </w:rPr>
            </w:pPr>
            <w:r>
              <w:rPr>
                <w:rFonts w:ascii="Times New Roman" w:cs="Times New Roman" w:eastAsia="Times New Roman" w:hAnsi="Times New Roman"/>
                <w:sz w:val="13"/>
                <w:szCs w:val="13"/>
                <w:b w:val="1"/>
                <w:bCs w:val="1"/>
                <w:color w:val="auto"/>
              </w:rPr>
              <w:t>( Address of principal executive offices )</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80" w:type="dxa"/>
            <w:vAlign w:val="bottom"/>
          </w:tcPr>
          <w:p>
            <w:pPr>
              <w:jc w:val="center"/>
              <w:ind w:left="530"/>
              <w:spacing w:after="0"/>
              <w:rPr>
                <w:sz w:val="20"/>
                <w:szCs w:val="20"/>
                <w:color w:val="auto"/>
              </w:rPr>
            </w:pPr>
            <w:r>
              <w:rPr>
                <w:rFonts w:ascii="Times New Roman" w:cs="Times New Roman" w:eastAsia="Times New Roman" w:hAnsi="Times New Roman"/>
                <w:sz w:val="13"/>
                <w:szCs w:val="13"/>
                <w:b w:val="1"/>
                <w:bCs w:val="1"/>
                <w:color w:val="auto"/>
              </w:rPr>
              <w:t>( Zip Code )</w:t>
            </w:r>
          </w:p>
        </w:tc>
        <w:tc>
          <w:tcPr>
            <w:tcW w:w="0" w:type="dxa"/>
            <w:vAlign w:val="bottom"/>
          </w:tcPr>
          <w:p>
            <w:pPr>
              <w:spacing w:after="0"/>
              <w:rPr>
                <w:sz w:val="1"/>
                <w:szCs w:val="1"/>
                <w:color w:val="auto"/>
              </w:rPr>
            </w:pPr>
          </w:p>
        </w:tc>
      </w:tr>
      <w:tr>
        <w:trPr>
          <w:trHeight w:val="237"/>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(770) 955-7070</w:t>
            </w:r>
          </w:p>
        </w:tc>
        <w:tc>
          <w:tcPr>
            <w:tcW w:w="0" w:type="dxa"/>
            <w:vAlign w:val="bottom"/>
          </w:tcPr>
          <w:p>
            <w:pPr>
              <w:spacing w:after="0"/>
              <w:rPr>
                <w:sz w:val="1"/>
                <w:szCs w:val="1"/>
                <w:color w:val="auto"/>
              </w:rPr>
            </w:pPr>
          </w:p>
        </w:tc>
      </w:tr>
      <w:tr>
        <w:trPr>
          <w:trHeight w:val="257"/>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49"/>
        </w:trPr>
        <w:tc>
          <w:tcPr>
            <w:tcW w:w="6460" w:type="dxa"/>
            <w:vAlign w:val="bottom"/>
            <w:gridSpan w:val="4"/>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80" w:type="dxa"/>
            <w:vAlign w:val="bottom"/>
          </w:tcPr>
          <w:p>
            <w:pPr>
              <w:jc w:val="center"/>
              <w:ind w:right="115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6"/>
        </w:trPr>
        <w:tc>
          <w:tcPr>
            <w:tcW w:w="5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$.01 par value per share</w:t>
            </w: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280" w:type="dxa"/>
            <w:vAlign w:val="bottom"/>
            <w:tcBorders>
              <w:top w:val="single" w:sz="8" w:color="auto"/>
            </w:tcBorders>
          </w:tcPr>
          <w:p>
            <w:pPr>
              <w:jc w:val="center"/>
              <w:ind w:right="113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41"/>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00"/>
        </w:trPr>
        <w:tc>
          <w:tcPr>
            <w:tcW w:w="4500" w:type="dxa"/>
            <w:vAlign w:val="bottom"/>
          </w:tcPr>
          <w:p>
            <w:pPr>
              <w:spacing w:after="0"/>
              <w:rPr>
                <w:sz w:val="8"/>
                <w:szCs w:val="8"/>
                <w:color w:val="auto"/>
              </w:rPr>
            </w:pPr>
          </w:p>
        </w:tc>
        <w:tc>
          <w:tcPr>
            <w:tcW w:w="1960" w:type="dxa"/>
            <w:vAlign w:val="bottom"/>
            <w:tcBorders>
              <w:bottom w:val="single" w:sz="8" w:color="auto"/>
            </w:tcBorders>
            <w:gridSpan w:val="3"/>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vMerge w:val="restart"/>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06"/>
        </w:trPr>
        <w:tc>
          <w:tcPr>
            <w:tcW w:w="64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88"/>
              </w:rPr>
              <w:t>Yes</w:t>
            </w:r>
          </w:p>
        </w:tc>
        <w:tc>
          <w:tcPr>
            <w:tcW w:w="220" w:type="dxa"/>
            <w:vAlign w:val="bottom"/>
            <w:vMerge w:val="continue"/>
          </w:tcPr>
          <w:p>
            <w:pPr>
              <w:spacing w:after="0"/>
              <w:rPr>
                <w:sz w:val="17"/>
                <w:szCs w:val="17"/>
                <w:color w:val="auto"/>
              </w:rPr>
            </w:pPr>
          </w:p>
        </w:tc>
        <w:tc>
          <w:tcPr>
            <w:tcW w:w="4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4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15(d) of the Act.  Yes</w:t>
            </w:r>
          </w:p>
        </w:tc>
        <w:tc>
          <w:tcPr>
            <w:tcW w:w="28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No</w:t>
            </w:r>
          </w:p>
        </w:tc>
        <w:tc>
          <w:tcPr>
            <w:tcW w:w="428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 Checking the box above will not relieve any registrant required to file reports pursuant to Section 13 or 15(d) of the Exchange Act from their obligations under those Sections.</w:t>
      </w:r>
    </w:p>
    <w:p>
      <w:pPr>
        <w:spacing w:after="0" w:line="5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8" w:right="339" w:bottom="1440" w:gutter="0" w:footer="0" w:header="0"/>
        </w:sectPr>
      </w:pP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4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spacing w:after="0"/>
              <w:rPr>
                <w:sz w:val="21"/>
                <w:szCs w:val="21"/>
                <w:color w:val="auto"/>
              </w:rPr>
            </w:pPr>
          </w:p>
        </w:tc>
        <w:tc>
          <w:tcPr>
            <w:tcW w:w="1880" w:type="dxa"/>
            <w:vAlign w:val="bottom"/>
          </w:tcPr>
          <w:p>
            <w:pPr>
              <w:spacing w:after="0"/>
              <w:rPr>
                <w:sz w:val="21"/>
                <w:szCs w:val="21"/>
                <w:color w:val="auto"/>
              </w:rPr>
            </w:pPr>
          </w:p>
        </w:tc>
      </w:tr>
    </w:tbl>
    <w:p>
      <w:pPr>
        <w:spacing w:after="0" w:line="97" w:lineRule="exact"/>
        <w:rPr>
          <w:sz w:val="24"/>
          <w:szCs w:val="24"/>
          <w:color w:val="auto"/>
        </w:rPr>
      </w:pPr>
    </w:p>
    <w:p>
      <w:pPr>
        <w:sectPr>
          <w:pgSz w:w="11900" w:h="16838" w:orient="portrait"/>
          <w:cols w:equalWidth="0" w:num="2">
            <w:col w:w="4420" w:space="720"/>
            <w:col w:w="6100"/>
          </w:cols>
          <w:pgMar w:left="320" w:top="1258" w:right="339" w:bottom="1440" w:gutter="0" w:footer="0" w:header="0"/>
          <w:type w:val="continuous"/>
        </w:sect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740" w:val="left"/>
          <w:tab w:leader="none" w:pos="62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200"/>
        <w:spacing w:after="0" w:line="264"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June 30, 2025 was $11,791,338,195, which was calculated based upon a closing sales price of $195.00 per share of the Common Stock as reported by the Nasdaq Global Select Market on the same day. As of January 30, 2026, the Registrant had outstanding 59,847,548 shares of Common Stock.</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color w:val="auto"/>
        </w:rPr>
        <w:t>The Registrant’s definitive Proxy Statement for the Annual Meeting of Shareholders to be held May 14, 2026 is incorporated by reference in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Item Number</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80" w:type="dxa"/>
            <w:vAlign w:val="bottom"/>
            <w:gridSpan w:val="8"/>
          </w:tcPr>
          <w:p>
            <w:pPr>
              <w:ind w:left="680"/>
              <w:spacing w:after="0"/>
              <w:rPr>
                <w:sz w:val="20"/>
                <w:szCs w:val="20"/>
                <w:color w:val="auto"/>
              </w:rPr>
            </w:pPr>
            <w:r>
              <w:rPr>
                <w:rFonts w:ascii="Times New Roman" w:cs="Times New Roman" w:eastAsia="Times New Roman" w:hAnsi="Times New Roman"/>
                <w:sz w:val="13"/>
                <w:szCs w:val="13"/>
                <w:b w:val="1"/>
                <w:bCs w:val="1"/>
                <w:color w:val="auto"/>
              </w:rPr>
              <w:t>Item Description</w:t>
            </w:r>
          </w:p>
        </w:tc>
        <w:tc>
          <w:tcPr>
            <w:tcW w:w="10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Page Number</w:t>
            </w:r>
          </w:p>
        </w:tc>
      </w:tr>
      <w:tr>
        <w:trPr>
          <w:trHeight w:val="191"/>
        </w:trPr>
        <w:tc>
          <w:tcPr>
            <w:tcW w:w="9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194"/>
        </w:trPr>
        <w:tc>
          <w:tcPr>
            <w:tcW w:w="1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100" w:type="dxa"/>
            <w:vAlign w:val="bottom"/>
            <w:gridSpan w:val="18"/>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6980" w:type="dxa"/>
            <w:vAlign w:val="bottom"/>
            <w:gridSpan w:val="11"/>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020" w:type="dxa"/>
            <w:vAlign w:val="bottom"/>
            <w:gridSpan w:val="17"/>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280" w:type="dxa"/>
            <w:vAlign w:val="bottom"/>
            <w:gridSpan w:val="22"/>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35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320" w:type="dxa"/>
            <w:vAlign w:val="bottom"/>
            <w:tcBorders>
              <w:top w:val="single" w:sz="8" w:color="0000FF"/>
            </w:tcBorders>
            <w:gridSpan w:val="19"/>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60" w:type="dxa"/>
            <w:vAlign w:val="bottom"/>
            <w:gridSpan w:val="3"/>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680" w:type="dxa"/>
            <w:vAlign w:val="bottom"/>
            <w:gridSpan w:val="6"/>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7"/>
                <w:szCs w:val="17"/>
                <w:color w:val="auto"/>
              </w:rPr>
            </w:pPr>
          </w:p>
        </w:tc>
        <w:tc>
          <w:tcPr>
            <w:tcW w:w="2560" w:type="dxa"/>
            <w:vAlign w:val="bottom"/>
            <w:gridSpan w:val="3"/>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35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0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5"/>
          </w:tcPr>
          <w:p>
            <w:pPr>
              <w:spacing w:after="0"/>
              <w:rPr>
                <w:sz w:val="17"/>
                <w:szCs w:val="17"/>
                <w:color w:val="auto"/>
              </w:rPr>
            </w:pPr>
          </w:p>
        </w:tc>
        <w:tc>
          <w:tcPr>
            <w:tcW w:w="4940" w:type="dxa"/>
            <w:vAlign w:val="bottom"/>
            <w:gridSpan w:val="7"/>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1740" w:type="dxa"/>
            <w:vAlign w:val="bottom"/>
            <w:gridSpan w:val="2"/>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580" w:type="dxa"/>
            <w:vAlign w:val="bottom"/>
            <w:gridSpan w:val="4"/>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35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0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Exhibits</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7480" w:type="dxa"/>
            <w:vAlign w:val="bottom"/>
            <w:gridSpan w:val="1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 Index</w:t>
            </w: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7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7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filing are “forward-looking statements” within the meaning of the Private Securities Litigation Reform Act of 1995, including but not limited to statements related to expectations about global macroeconomic trends and industry developments, plans for future business development activities, anticipated costs of revenues, product mix and service revenues, research and development, selling, general and administrative activities, and liquidity and capital needs and resources. When used in this Annual Report, on Form 10-K (this “Form 10-K”) the words “may,” “expect,” “forecast,” “anticipate,” “intend,” “plan,” "design", “believe,” “could,” “seek,” “estimate,” “project,” and similar expressions are generally intended to identify forward-looking statements. Undue reliance should not be placed on these forward-looking statements, which reflect opinions only as of the date of this Form 10-K. Such forward-looking statements are subject to risks, uncertainties, and other factors that could cause actual results to differ materially from future results expressed or implied by such forward-looking statements. Investors are cautioned that forward-looking statements are not guarantees of future performance and involve risks and uncertainties, and that actual results may differ materially from those contemplated by such forward-looking statements.</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the results discussed in forward-looking statements include:</w:t>
      </w:r>
    </w:p>
    <w:p>
      <w:pPr>
        <w:spacing w:after="0" w:line="117" w:lineRule="exact"/>
        <w:rPr>
          <w:sz w:val="20"/>
          <w:szCs w:val="20"/>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disruption and transformation in our vertical markets;</w:t>
      </w:r>
    </w:p>
    <w:p>
      <w:pPr>
        <w:spacing w:after="0" w:line="117" w:lineRule="exact"/>
        <w:rPr>
          <w:rFonts w:ascii="Times New Roman" w:cs="Times New Roman" w:eastAsia="Times New Roman" w:hAnsi="Times New Roman"/>
          <w:sz w:val="18"/>
          <w:szCs w:val="18"/>
          <w:color w:val="auto"/>
        </w:rPr>
      </w:pPr>
    </w:p>
    <w:p>
      <w:pPr>
        <w:ind w:left="520" w:right="5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market volatility, interest and inflation rates, trends and fluctuations of each, and efforts to control them;</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highly skilled employees;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line of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generating revenue from cloud subscriptions and software licenses to drive business;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errors or “bugs” in our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defects, delays or interruptions in our cloud subscription services;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compromises of our data protection and IT security measures;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generative and agentic artificial intelligence;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large system implementations;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liability to customers if our products fail;</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predicting operating results;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on international commerce of new or increased tariffs, or a “trade war;”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government priorities and spending, including on our or our customers’ federal government contracts;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results;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maintain high quality professional service capabilities;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international operations, including foreign currency exchange risk;</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research and developments investments may not yield sufficient returns;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 sales cycle associated with our products;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continually improve our technology;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managing growth;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and open source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our products to interoperate with other systems;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intellectual property, and our exposure to intellectual property claims of others;</w:t>
      </w:r>
    </w:p>
    <w:p>
      <w:pPr>
        <w:spacing w:after="0" w:line="117" w:lineRule="exact"/>
        <w:rPr>
          <w:rFonts w:ascii="Times New Roman" w:cs="Times New Roman" w:eastAsia="Times New Roman" w:hAnsi="Times New Roman"/>
          <w:sz w:val="18"/>
          <w:szCs w:val="18"/>
          <w:color w:val="auto"/>
        </w:rPr>
      </w:pPr>
    </w:p>
    <w:p>
      <w:pPr>
        <w:ind w:left="520" w:right="4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developments, including political instability, civil unrest, economic sanctions, terrorist activities or international conflicts, such as the wars in Ukraine and the Middle East;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20" w:hanging="25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weather events, and disease outbreaks, pandemics, or other major public health crises; and</w:t>
      </w:r>
    </w:p>
    <w:p>
      <w:pPr>
        <w:spacing w:after="0" w:line="117" w:lineRule="exact"/>
        <w:rPr>
          <w:rFonts w:ascii="Times New Roman" w:cs="Times New Roman" w:eastAsia="Times New Roman" w:hAnsi="Times New Roman"/>
          <w:sz w:val="18"/>
          <w:szCs w:val="18"/>
          <w:color w:val="auto"/>
        </w:rPr>
      </w:pPr>
    </w:p>
    <w:p>
      <w:pPr>
        <w:ind w:left="520" w:right="560" w:hanging="257"/>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under the heading “Risk Factors” in Part I, Item 1A of this Form 10-K, as there may be updated from time to time in subsequent documents that we file with the Security and Exchange Commission.</w:t>
      </w:r>
    </w:p>
    <w:p>
      <w:pPr>
        <w:spacing w:after="0" w:line="162"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forward-looking statements to reflect changed assumptions, the occurrence of unanticipated events or changes in future operating results.</w:t>
      </w:r>
    </w:p>
    <w:p>
      <w:pPr>
        <w:spacing w:after="0" w:line="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93" w:right="5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Manhattan Associates was founded in 1990 in Manhattan Beach, California and incorporated in Georgia in 1998. References in this filing to the “Company,” “Manhattan,” “Manhattan Associates,” “we,” “our,” and “us” refer to Manhattan Associates, Inc., our predecessors, and our wholly-owned and consolidated subsidiaries. Our principal executive offices are located at 2300 Windy Ridge Parkway, Tenth Floor, Atlanta, Georgia 30339, and our telephone number is 770-955-7070.</w:t>
      </w:r>
    </w:p>
    <w:p>
      <w:pPr>
        <w:spacing w:after="0" w:line="72"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We develop, sell, deploy, service and maintain software solutions designed to manage supply chains, inventory and omnichannel operations for retailers, wholesalers, manufacturers, logistics providers and other organizations. Our customers include many of the world’s premier and most profitable brands. We run our Manhattan Active® applications in the cloud and deliver them as subscription-based software as a service ("SaaS"). Its architecture is highly differentiated among enterprise application providers, particularly within the Omni Channel and Supply Chain categories. We believe our application architecture delivers a versionless yet highly extensible experience for our customers. We offer our customers access to new innovation on a quarterly basis, ensuring all customers are running on a single fully up-to-date codebase. With AI-driven insights and zero downtime updates, Manhattan delivers innovation seamlessly into customer environments without the need for planned maintenance windows.</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Manhattan Associates develops modern, cloud-based, supply chain commerce solutions that help our customers in three distinct areas of their business:</w:t>
      </w:r>
    </w:p>
    <w:p>
      <w:pPr>
        <w:spacing w:after="0" w:line="113" w:lineRule="exact"/>
        <w:rPr>
          <w:sz w:val="20"/>
          <w:szCs w:val="20"/>
          <w:color w:val="auto"/>
        </w:rPr>
      </w:pPr>
    </w:p>
    <w:p>
      <w:pPr>
        <w:ind w:left="520" w:hanging="257"/>
        <w:spacing w:after="0" w:line="25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Execution </w:t>
      </w:r>
      <w:r>
        <w:rPr>
          <w:rFonts w:ascii="Times New Roman" w:cs="Times New Roman" w:eastAsia="Times New Roman" w:hAnsi="Times New Roman"/>
          <w:sz w:val="18"/>
          <w:szCs w:val="18"/>
          <w:color w:val="auto"/>
        </w:rPr>
        <w:t>- We provide companies with the tools needed to manage distribution and optimize transportation costs throughout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commercial network. We consolidate all distribution, labor, automation, transportation, and yard management in a unified solution that continuously adapts and scales to our customers’ business needs. Manhattan’s Warehouse Management solutions are widely regarded as industry-leading systems designed to optimize productivity and throughput in distribution centers and warehouses around the world. Our software helps optimize fulfillment models to support our customers across a wide range of channels and fulfillment methods. Likewise, we design our offerings to provide shippers and carriers the most comprehensive transportation management solutions in the market. This includes software to help them move freight via the most cost-effective means possible while also meeting service-level expectations, to model their transportation network, and to automate the procurement-to-pay process.</w:t>
      </w:r>
    </w:p>
    <w:p>
      <w:pPr>
        <w:spacing w:after="0" w:line="76" w:lineRule="exact"/>
        <w:rPr>
          <w:rFonts w:ascii="Times New Roman" w:cs="Times New Roman" w:eastAsia="Times New Roman" w:hAnsi="Times New Roman"/>
          <w:sz w:val="18"/>
          <w:szCs w:val="18"/>
          <w:color w:val="auto"/>
        </w:rPr>
      </w:pPr>
    </w:p>
    <w:p>
      <w:pPr>
        <w:ind w:left="520" w:right="120" w:hanging="257"/>
        <w:spacing w:after="0" w:line="257"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Omnichannel Commerce </w:t>
      </w:r>
      <w:r>
        <w:rPr>
          <w:rFonts w:ascii="Times New Roman" w:cs="Times New Roman" w:eastAsia="Times New Roman" w:hAnsi="Times New Roman"/>
          <w:sz w:val="18"/>
          <w:szCs w:val="18"/>
          <w:color w:val="auto"/>
        </w:rPr>
        <w:t>- Meeting ever-evolving consumer expectations of service, inventory availability, and delivery convenience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challenge every merchant must meet head on. Manhattan Active® Omni is a first-of-its-kind, unified commerce application for modern retail. Our Omnichannel solutions provide an operating platform for digital commerce, retailers, and wholesale businesses. Comprising Order Management, Store Inventory &amp; Fulfillment, Point of Sale (POS), and Customer Engagement &amp; Service as their core applications, Manhattan provides CRM capabilities for contact center agents, end-to-end process enablement for store associates, and enterprise-wide inventory availability determination, order fulfillment optimization, and POS capabilities.</w:t>
      </w:r>
    </w:p>
    <w:p>
      <w:pPr>
        <w:spacing w:after="0" w:line="74" w:lineRule="exact"/>
        <w:rPr>
          <w:rFonts w:ascii="Times New Roman" w:cs="Times New Roman" w:eastAsia="Times New Roman" w:hAnsi="Times New Roman"/>
          <w:sz w:val="18"/>
          <w:szCs w:val="18"/>
          <w:color w:val="auto"/>
        </w:rPr>
      </w:pPr>
    </w:p>
    <w:p>
      <w:pPr>
        <w:ind w:left="520" w:right="140" w:hanging="257"/>
        <w:spacing w:after="0" w:line="26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Planning </w:t>
      </w:r>
      <w:r>
        <w:rPr>
          <w:rFonts w:ascii="Times New Roman" w:cs="Times New Roman" w:eastAsia="Times New Roman" w:hAnsi="Times New Roman"/>
          <w:sz w:val="18"/>
          <w:szCs w:val="18"/>
          <w:color w:val="auto"/>
        </w:rPr>
        <w:t>– Manhattan’s supply chain planning solutions enable distributors of finished goods, such as apparel, food, automotive,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pharmaceuticals, to forecast demand and determine when, where, and how much inventory is required to achieve maximum profitability. Manhattan unifies demand forecasting, replenishment, and allocation into a single, real-time planning environment that communicates in real time with warehouse, transportation, order, and store solutions, enabling unified business planning and faster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Manhattan Associates’ Software Solution Portfolios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portfolio of solutions is built around holistic-based, technology platform, which provides customers with two major benefits:</w:t>
      </w:r>
    </w:p>
    <w:p>
      <w:pPr>
        <w:spacing w:after="0" w:line="113" w:lineRule="exact"/>
        <w:rPr>
          <w:sz w:val="20"/>
          <w:szCs w:val="20"/>
          <w:color w:val="auto"/>
        </w:rPr>
      </w:pPr>
    </w:p>
    <w:p>
      <w:pPr>
        <w:ind w:left="520" w:right="60" w:hanging="257"/>
        <w:spacing w:after="0" w:line="259"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Leading Feature Function – </w:t>
      </w:r>
      <w:r>
        <w:rPr>
          <w:rFonts w:ascii="Times New Roman" w:cs="Times New Roman" w:eastAsia="Times New Roman" w:hAnsi="Times New Roman"/>
          <w:sz w:val="18"/>
          <w:szCs w:val="18"/>
          <w:color w:val="auto"/>
        </w:rPr>
        <w:t>Manhattan solutions are consistently rated by customers and industry analysts alike as providing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and innovative feature functionality in the market. From warehouse management to POS, our solutions are consistently at the top of the market with respect to configurability, capability and usability. Customers choose Manhattan applications to solve the industry’s most complex supply chain and commerce problems. Our combination of deep domain expertise, an in-house data science and operations research team, and a specialized user experience team combine to differentiate Manhattan solutions.</w:t>
      </w:r>
    </w:p>
    <w:p>
      <w:pPr>
        <w:spacing w:after="0" w:line="71" w:lineRule="exact"/>
        <w:rPr>
          <w:rFonts w:ascii="Times New Roman" w:cs="Times New Roman" w:eastAsia="Times New Roman" w:hAnsi="Times New Roman"/>
          <w:sz w:val="18"/>
          <w:szCs w:val="18"/>
          <w:color w:val="auto"/>
        </w:rPr>
      </w:pPr>
    </w:p>
    <w:p>
      <w:pPr>
        <w:ind w:left="520" w:right="140" w:hanging="257"/>
        <w:spacing w:after="0" w:line="259"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Solution Unification – </w:t>
      </w:r>
      <w:r>
        <w:rPr>
          <w:rFonts w:ascii="Times New Roman" w:cs="Times New Roman" w:eastAsia="Times New Roman" w:hAnsi="Times New Roman"/>
          <w:sz w:val="18"/>
          <w:szCs w:val="18"/>
          <w:color w:val="auto"/>
        </w:rPr>
        <w:t>Manhattan solutions are organized into three groups: omni-channel, supply chain, and inventory. Each one of these groups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engineered to provide cross-application benefit that simplifies and improves operations within those three areas. This approach significantly reduces complexity, maintenance, and application risk for our customers, providing an expanded set of end-to-end capabilities. As complexity continues to grow for our customers, Manhattan provides value by eliminating the need to design, build, and maintain complex system to system integration.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8"/>
          <w:szCs w:val="18"/>
          <w:color w:val="auto"/>
        </w:rPr>
        <w:t>Manhattan’s Supply Chain Solutions are focused on the distribution and transportation operations of the enterprise. There are two main components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Manhattan’s Supply Chain Solutions:</w:t>
      </w:r>
    </w:p>
    <w:p>
      <w:pPr>
        <w:spacing w:after="0" w:line="95" w:lineRule="exact"/>
        <w:rPr>
          <w:sz w:val="20"/>
          <w:szCs w:val="20"/>
          <w:color w:val="auto"/>
        </w:rPr>
      </w:pPr>
    </w:p>
    <w:p>
      <w:pPr>
        <w:ind w:left="520" w:hanging="257"/>
        <w:spacing w:after="0" w:line="253"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 Management </w:t>
      </w:r>
      <w:r>
        <w:rPr>
          <w:rFonts w:ascii="Times New Roman" w:cs="Times New Roman" w:eastAsia="Times New Roman" w:hAnsi="Times New Roman"/>
          <w:sz w:val="18"/>
          <w:szCs w:val="18"/>
          <w:color w:val="auto"/>
        </w:rPr>
        <w:t>- These applications comprise Manhattan’s Warehouse Management Solutions (WMS) commonly used to manage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complexity of the modern distribution center. WMS manages the flow of goods and information across the distribution center. WMS is delivered for new and upgrading customers in the form of Manhattan Active Warehouse Management (MAWM), a versionless, cloud-based application that delivers innovation on a quarterly basis. Manhattan Active WM runs on Google Cloud Platform, is offered exclusively via subscription, and includes state-of-the-art-fulfillment optimization technology, a consumer grade mobile app experience for the associate, and embedded gamification capabilities to improve associate engagement and performance. Manhattan Active WM is fully configurable and technically extensible, meaning customers can build their own componentry to work alongside our base application. Manhattan Active WM also embeds labor management and slotting optimization capabilities. Manhattan’s WMS customers benefit from its embedded warehouse execution system that coordinates the interaction between automation, robotics, and labor for maximum efficiency. Manhattan’s WMS also enables the efficient utilization of a single distribution center for direct-to-consumer, retail replenishment, and high-volume wholesale fulfilment. Our WMS provides the customer the most productive operation that can scale to meet the highest demands during peak season while operating effectively and profitably throughout the course of the year.</w:t>
      </w:r>
    </w:p>
    <w:p>
      <w:pPr>
        <w:spacing w:after="0" w:line="81" w:lineRule="exact"/>
        <w:rPr>
          <w:rFonts w:ascii="Times New Roman" w:cs="Times New Roman" w:eastAsia="Times New Roman" w:hAnsi="Times New Roman"/>
          <w:sz w:val="18"/>
          <w:szCs w:val="18"/>
          <w:color w:val="auto"/>
        </w:rPr>
      </w:pPr>
    </w:p>
    <w:p>
      <w:pPr>
        <w:ind w:left="520" w:right="220" w:hanging="257"/>
        <w:spacing w:after="0" w:line="25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Transportation Management </w:t>
      </w:r>
      <w:r>
        <w:rPr>
          <w:rFonts w:ascii="Times New Roman" w:cs="Times New Roman" w:eastAsia="Times New Roman" w:hAnsi="Times New Roman"/>
          <w:sz w:val="18"/>
          <w:szCs w:val="18"/>
          <w:color w:val="auto"/>
        </w:rPr>
        <w:t>- Organizations today face a complex transportation environment with ever-changing demands driven by macro-economic trends and governmental regulations. The Manhattan Active Transportation Management Solution (TMS) is designed to help shippers navigate their way through these demands while meeting customer service expectations at the lowest possible freight costs. TMS components include procurement and modeling tools to setup a successful network, along with planning, execution and settlement tools to manage day-to-day transportation requirements. Our TMS can also connect shippers with a network of partners that can increase shipping capacity on an as-needed basis. Manhattan Carrier is a suite of solutions built specifically to help motor carriers optimize load assignments, minimize fuel costs, manage drivers’ hours of service and accommodate demand fluctuations.</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Manhattan SCALE</w:t>
      </w:r>
      <w:r>
        <w:rPr>
          <w:rFonts w:ascii="Times New Roman" w:cs="Times New Roman" w:eastAsia="Times New Roman" w:hAnsi="Times New Roman"/>
          <w:sz w:val="24"/>
          <w:szCs w:val="24"/>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(SCALE)</w:t>
      </w:r>
    </w:p>
    <w:p>
      <w:pPr>
        <w:spacing w:after="0" w:line="59" w:lineRule="exact"/>
        <w:rPr>
          <w:sz w:val="20"/>
          <w:szCs w:val="20"/>
          <w:color w:val="auto"/>
        </w:rPr>
      </w:pPr>
    </w:p>
    <w:p>
      <w:pPr>
        <w:ind w:left="380" w:right="40" w:firstLine="374"/>
        <w:spacing w:after="0" w:line="258" w:lineRule="auto"/>
        <w:rPr>
          <w:sz w:val="20"/>
          <w:szCs w:val="20"/>
          <w:color w:val="auto"/>
        </w:rPr>
      </w:pPr>
      <w:r>
        <w:rPr>
          <w:rFonts w:ascii="Times New Roman" w:cs="Times New Roman" w:eastAsia="Times New Roman" w:hAnsi="Times New Roman"/>
          <w:sz w:val="18"/>
          <w:szCs w:val="18"/>
          <w:color w:val="auto"/>
        </w:rPr>
        <w:t>SCALE is our portfolio of logistics execution solutions built on Microsoft’s .NET® platform. Purpose-built for rapid development and a value-based total cost of ownership, SCALE is targeted toward companies with execution-focused supply chain needs that require speed-to-value, resource-light system configuration and maintenance, and the ability to quickly scale their logistics operations up or down in response to market fluctuations or business requirement changes. SCALE combines the features of Trading Partner Management, Yard Management, Optimization, Warehouse Management, and Transportation Execution.</w:t>
      </w:r>
    </w:p>
    <w:p>
      <w:pPr>
        <w:spacing w:after="0" w:line="75" w:lineRule="exact"/>
        <w:rPr>
          <w:sz w:val="20"/>
          <w:szCs w:val="20"/>
          <w:color w:val="auto"/>
        </w:rPr>
      </w:pPr>
    </w:p>
    <w:p>
      <w:pPr>
        <w:ind w:left="380" w:right="180" w:firstLine="374"/>
        <w:spacing w:after="0" w:line="261" w:lineRule="auto"/>
        <w:rPr>
          <w:sz w:val="20"/>
          <w:szCs w:val="20"/>
          <w:color w:val="auto"/>
        </w:rPr>
      </w:pPr>
      <w:r>
        <w:rPr>
          <w:rFonts w:ascii="Times New Roman" w:cs="Times New Roman" w:eastAsia="Times New Roman" w:hAnsi="Times New Roman"/>
          <w:sz w:val="18"/>
          <w:szCs w:val="18"/>
          <w:color w:val="auto"/>
        </w:rPr>
        <w:t>Because SCALE solutions leverage a common platform, they share common data elements, and each user can access all applications through a single sign-on. Users also can set up “dashboards” that enable easy access to real-time information most relevant to their jobs. SCALE’s ease of deployment, operation, and support make it a popular choice for organizations operating in countries with emerging and developing economies and where technical support resources are limited.</w:t>
      </w:r>
    </w:p>
    <w:p>
      <w:pPr>
        <w:spacing w:after="0" w:line="72" w:lineRule="exact"/>
        <w:rPr>
          <w:sz w:val="20"/>
          <w:szCs w:val="20"/>
          <w:color w:val="auto"/>
        </w:rPr>
      </w:pPr>
    </w:p>
    <w:p>
      <w:pPr>
        <w:ind w:left="380" w:right="300" w:firstLine="374"/>
        <w:spacing w:after="0" w:line="266" w:lineRule="auto"/>
        <w:rPr>
          <w:sz w:val="20"/>
          <w:szCs w:val="20"/>
          <w:color w:val="auto"/>
        </w:rPr>
      </w:pPr>
      <w:r>
        <w:rPr>
          <w:rFonts w:ascii="Times New Roman" w:cs="Times New Roman" w:eastAsia="Times New Roman" w:hAnsi="Times New Roman"/>
          <w:sz w:val="18"/>
          <w:szCs w:val="18"/>
          <w:color w:val="auto"/>
        </w:rPr>
        <w:t>SCALE is delivered as a cloud-based solution on Microsoft’s Azure platform. Through this platform, Manhattan Active SCALE customers receive new capability on an annual basis and enjoy full configurability and elements of technical extensibility even when delivered on Azure. We continue to offer SCALE on premise via perpetual licenses.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 Solutions</w:t>
      </w:r>
    </w:p>
    <w:p>
      <w:pPr>
        <w:spacing w:after="0" w:line="121"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As omnichannel retail has placed new demands on retailers, it has also created new software solution needs. These range from the ability to leverage inventory across the entire network to meet any demand, to providing store associates and call center representatives the means to take advantage of the available inventory. Our Manhattan Active Omni set of solutions brings together Order Management, Store Inventory &amp; Fulfillment, POS, and Customer Engagement tools into a single application built on a shared, cloud-native, microservices platform. This architecture enables our customers to more easily expand their systems to include more capabilities and quarterly product enhancements while always maintaining their customizations.</w:t>
      </w:r>
    </w:p>
    <w:p>
      <w:pPr>
        <w:spacing w:after="0" w:line="71" w:lineRule="exact"/>
        <w:rPr>
          <w:sz w:val="20"/>
          <w:szCs w:val="20"/>
          <w:color w:val="auto"/>
        </w:rPr>
      </w:pPr>
    </w:p>
    <w:p>
      <w:pPr>
        <w:ind w:left="520" w:right="80" w:hanging="257"/>
        <w:spacing w:after="0" w:line="255"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Omnichannel Commerce Solutions </w:t>
      </w:r>
      <w:r>
        <w:rPr>
          <w:rFonts w:ascii="Times New Roman" w:cs="Times New Roman" w:eastAsia="Times New Roman" w:hAnsi="Times New Roman"/>
          <w:sz w:val="18"/>
          <w:szCs w:val="18"/>
          <w:color w:val="auto"/>
        </w:rPr>
        <w:t>- Manhattan’s Omnichannel Commerce solutions are designed to enable our customers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anywhere and fulfill them from anywhere, maximizing sales by leveraging a holistic inventory picture. Our goal is to enable an omnichannel commerce platform that can be tapped into by any selling system—such as webstore, ERP, point-of-sale, call center, and mobile app, to more cost-effectively promise and then meet delivery dates. Manhattan’s Enterprise Inventory builds out a complete inventory availability picture that can be updated in near-real time with feeds from the warehouse, the store and other fulfillment locations in the network. Enterprise Order Management merges this inventory availability data with demand feeds from across the organization to match supply with demand - satisfying customer delivery expectations while striving to maximize revenue and profitability. Finally, Manhattan offers a unique Customer Engagement solution that enables contact center associates to see a holistic view of the customer, including a complete customer sales and</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jc w:val="both"/>
        <w:ind w:left="520" w:right="140"/>
        <w:spacing w:after="0" w:line="261" w:lineRule="auto"/>
        <w:rPr>
          <w:sz w:val="20"/>
          <w:szCs w:val="20"/>
          <w:color w:val="auto"/>
        </w:rPr>
      </w:pPr>
      <w:r>
        <w:rPr>
          <w:rFonts w:ascii="Times New Roman" w:cs="Times New Roman" w:eastAsia="Times New Roman" w:hAnsi="Times New Roman"/>
          <w:sz w:val="18"/>
          <w:szCs w:val="18"/>
          <w:color w:val="auto"/>
        </w:rPr>
        <w:t>interaction history, to better satisfy shopper needs while optimizing potential revenue and profit opportunities through new orders, exchanges or a returns. Manhattan Active Omni now also includes a set of Digital Self-Service capabilities, allowing consumers to manage their orders after they have placed them. For customer service, Manhattan Active® Maven is revolutionizing retail AI-powered agent capabilities with fast, personalized, and highly capable agentic AI assistance that delights customers and boosts productivity.</w:t>
      </w:r>
    </w:p>
    <w:p>
      <w:pPr>
        <w:spacing w:after="0" w:line="68" w:lineRule="exact"/>
        <w:rPr>
          <w:sz w:val="20"/>
          <w:szCs w:val="20"/>
          <w:color w:val="auto"/>
        </w:rPr>
      </w:pPr>
    </w:p>
    <w:p>
      <w:pPr>
        <w:ind w:left="520" w:right="60" w:hanging="257"/>
        <w:spacing w:after="0" w:line="26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Point of Sale - </w:t>
      </w:r>
      <w:r>
        <w:rPr>
          <w:rFonts w:ascii="Times New Roman" w:cs="Times New Roman" w:eastAsia="Times New Roman" w:hAnsi="Times New Roman"/>
          <w:sz w:val="18"/>
          <w:szCs w:val="18"/>
          <w:color w:val="auto"/>
        </w:rPr>
        <w:t>As the consumer enters the store with more information than ever, it is vital to equip the sales associate with relevant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capabilities to satisfy their demands. Store solutions available on mobile and fixed stations include POS to process purchase transactions and Customer Engagement to provide the associate with a complete picture of the shopper’s purchase history. Manhattan brings these solutions together on a single mobile platform to enable retailers to offer unparalleled service and convenience for the shopper.</w:t>
      </w:r>
    </w:p>
    <w:p>
      <w:pPr>
        <w:spacing w:after="0" w:line="68" w:lineRule="exact"/>
        <w:rPr>
          <w:rFonts w:ascii="Times New Roman" w:cs="Times New Roman" w:eastAsia="Times New Roman" w:hAnsi="Times New Roman"/>
          <w:sz w:val="18"/>
          <w:szCs w:val="18"/>
          <w:color w:val="auto"/>
        </w:rPr>
      </w:pPr>
    </w:p>
    <w:p>
      <w:pPr>
        <w:ind w:left="520" w:right="20" w:hanging="257"/>
        <w:spacing w:after="0" w:line="26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Inventory and Fulfillment </w:t>
      </w:r>
      <w:r>
        <w:rPr>
          <w:rFonts w:ascii="Times New Roman" w:cs="Times New Roman" w:eastAsia="Times New Roman" w:hAnsi="Times New Roman"/>
          <w:sz w:val="18"/>
          <w:szCs w:val="18"/>
          <w:color w:val="auto"/>
        </w:rPr>
        <w:t>- Most retailers are now looking to leverage store inventory to fulfill e-commerce demand (driving greater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with less inventory). This requires solutions that can accurately maintain inventory integrity and enable productive, reliable fulfillment. Manhattan’s Store Fulfillment solutions provide store associates with capabilities that power fulfillment experiences like buy online, pickup in store, curbside pickup, same day delivery, and ship from store.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Planning Solutions</w:t>
      </w:r>
    </w:p>
    <w:p>
      <w:pPr>
        <w:spacing w:after="0" w:line="121"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Manhattan Active® Supply Chain Planning unifies demand forecasting, replenishment, and allocation into a single, real-time planning solution. This unified approach enables organizations to make coordinated inventory and supply decisions across products, locations, and channels.</w:t>
      </w:r>
    </w:p>
    <w:p>
      <w:pPr>
        <w:spacing w:after="0" w:line="54"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Built on the Manhattan Active cloud-native platform, the solution connects planning directly with Manhattan Active execution solutions, including Warehouse Management, Transportation Management, Order Management, and Store Operations, reducing latency between planning and execution and supporting end-to-end supply chain coordination. The ability to accurately forecast demand and project inventory needs is heightened by omnichannel retail requirements that change traditional approaches to inventory management. Manhattan’s Inventory solutions address which products should be carried and the quantity that will be needed at each location by date.</w:t>
      </w:r>
    </w:p>
    <w:p>
      <w:pPr>
        <w:spacing w:after="0" w:line="71" w:lineRule="exact"/>
        <w:rPr>
          <w:sz w:val="20"/>
          <w:szCs w:val="20"/>
          <w:color w:val="auto"/>
        </w:rPr>
      </w:pPr>
    </w:p>
    <w:p>
      <w:pPr>
        <w:jc w:val="both"/>
        <w:ind w:left="520" w:right="560" w:hanging="257"/>
        <w:spacing w:after="0" w:line="268"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Demand Forecasting and Replenishment </w:t>
      </w:r>
      <w:r>
        <w:rPr>
          <w:rFonts w:ascii="Times New Roman" w:cs="Times New Roman" w:eastAsia="Times New Roman" w:hAnsi="Times New Roman"/>
          <w:sz w:val="18"/>
          <w:szCs w:val="18"/>
          <w:color w:val="auto"/>
        </w:rPr>
        <w:t>- Demand forecasting capabilities address complex demand patterns, including slow-moving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intermittent items that can contribute to excess inventory. Replenishment evaluates inventory requirements across locations and channels and supports actions such as inter-location transfers and inventory protection to balance online and in-store demand.</w:t>
      </w:r>
    </w:p>
    <w:p>
      <w:pPr>
        <w:spacing w:after="0" w:line="62" w:lineRule="exact"/>
        <w:rPr>
          <w:rFonts w:ascii="Times New Roman" w:cs="Times New Roman" w:eastAsia="Times New Roman" w:hAnsi="Times New Roman"/>
          <w:sz w:val="18"/>
          <w:szCs w:val="18"/>
          <w:color w:val="auto"/>
        </w:rPr>
      </w:pPr>
    </w:p>
    <w:p>
      <w:pPr>
        <w:ind w:left="520" w:right="120" w:hanging="257"/>
        <w:spacing w:after="0" w:line="26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Allocation - </w:t>
      </w:r>
      <w:r>
        <w:rPr>
          <w:rFonts w:ascii="Times New Roman" w:cs="Times New Roman" w:eastAsia="Times New Roman" w:hAnsi="Times New Roman"/>
          <w:sz w:val="18"/>
          <w:szCs w:val="18"/>
          <w:color w:val="auto"/>
        </w:rPr>
        <w:t>Allocation is delivered as a native capability within Manhattan Active® Supply Chain Planning. It supports inventory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decisions from initial receipt through end-of-season execution, particularly for softlines and apparel. Allocation operates within the same real-time planning environment as forecasting and replenishment, helping maintain alignment across inventory decisions without reliance on batch processes or separate tools.</w:t>
      </w:r>
    </w:p>
    <w:p>
      <w:pPr>
        <w:spacing w:after="0" w:line="68" w:lineRule="exact"/>
        <w:rPr>
          <w:rFonts w:ascii="Times New Roman" w:cs="Times New Roman" w:eastAsia="Times New Roman" w:hAnsi="Times New Roman"/>
          <w:sz w:val="18"/>
          <w:szCs w:val="18"/>
          <w:color w:val="auto"/>
        </w:rPr>
      </w:pPr>
    </w:p>
    <w:p>
      <w:pPr>
        <w:jc w:val="both"/>
        <w:ind w:left="520" w:right="120" w:hanging="257"/>
        <w:spacing w:after="0" w:line="284"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Unified Business Planning – </w:t>
      </w:r>
      <w:r>
        <w:rPr>
          <w:rFonts w:ascii="Times New Roman" w:cs="Times New Roman" w:eastAsia="Times New Roman" w:hAnsi="Times New Roman"/>
          <w:sz w:val="18"/>
          <w:szCs w:val="18"/>
          <w:color w:val="auto"/>
        </w:rPr>
        <w:t>Manhattan Active Supply Chain Planning facilitates unified business planning by enabling coordinated evaluation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inventory, service levels, and cost considerations within a single planning environment. This approach helps organizations align decisions across merchandising, supply chain, and operations and improves the ability to translate plans into executable outcomes.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121" w:lineRule="exact"/>
        <w:rPr>
          <w:sz w:val="20"/>
          <w:szCs w:val="20"/>
          <w:color w:val="auto"/>
        </w:rPr>
      </w:pPr>
    </w:p>
    <w:p>
      <w:pPr>
        <w:ind w:right="20" w:firstLine="281"/>
        <w:spacing w:after="0" w:line="258" w:lineRule="auto"/>
        <w:rPr>
          <w:sz w:val="20"/>
          <w:szCs w:val="20"/>
          <w:color w:val="auto"/>
        </w:rPr>
      </w:pPr>
      <w:r>
        <w:rPr>
          <w:rFonts w:ascii="Times New Roman" w:cs="Times New Roman" w:eastAsia="Times New Roman" w:hAnsi="Times New Roman"/>
          <w:sz w:val="18"/>
          <w:szCs w:val="18"/>
          <w:color w:val="auto"/>
        </w:rPr>
        <w:t>Our Manhattan Active Platform is the foundation for our cloud-based products designed to provide “always current” versionless access. The server side full stack runs exclusively on Google Cloud Platform, and end users can access the system from almost any type of device: mobile, tablet, or desktop. We sell our Manhattan Active solutions directly in multi-year cloud subscription arrangements, typically for a period of five years or more, providing clients with regular software updates during the contract period to ensure access to the latest product features and benefiting Manhattan with a predictable and regular revenue stream.</w:t>
      </w:r>
    </w:p>
    <w:p>
      <w:pPr>
        <w:spacing w:after="0" w:line="75" w:lineRule="exact"/>
        <w:rPr>
          <w:sz w:val="20"/>
          <w:szCs w:val="20"/>
          <w:color w:val="auto"/>
        </w:rPr>
      </w:pPr>
    </w:p>
    <w:p>
      <w:pPr>
        <w:ind w:right="180" w:firstLine="281"/>
        <w:spacing w:after="0" w:line="258" w:lineRule="auto"/>
        <w:rPr>
          <w:sz w:val="20"/>
          <w:szCs w:val="20"/>
          <w:color w:val="auto"/>
        </w:rPr>
      </w:pPr>
      <w:r>
        <w:rPr>
          <w:rFonts w:ascii="Times New Roman" w:cs="Times New Roman" w:eastAsia="Times New Roman" w:hAnsi="Times New Roman"/>
          <w:sz w:val="18"/>
          <w:szCs w:val="18"/>
          <w:color w:val="auto"/>
        </w:rPr>
        <w:t>Part of the key value proposition of Manhattan Active Platform is extensibility. In addition to the business configurability offered within each line of business application, Manhattan Active Platform also allows our customers to change the underlying data model, the user interface, and the core business logic within each application. Key to this process is Manhattan ProActive, our developer enablement toolkit which allows for the types of technical modifications noted above (and more). While we don’t charge separately for Manhattan ProActive (it comes as part of the subscription to any Manhattan Active Platform application), we do enhance it on the same cadence as we do our line of business application, i.e. quarterly.</w:t>
      </w:r>
    </w:p>
    <w:p>
      <w:pPr>
        <w:spacing w:after="0" w:line="75" w:lineRule="exact"/>
        <w:rPr>
          <w:sz w:val="20"/>
          <w:szCs w:val="20"/>
          <w:color w:val="auto"/>
        </w:rPr>
      </w:pPr>
    </w:p>
    <w:p>
      <w:pPr>
        <w:ind w:right="120" w:firstLine="281"/>
        <w:spacing w:after="0" w:line="261" w:lineRule="auto"/>
        <w:rPr>
          <w:sz w:val="20"/>
          <w:szCs w:val="20"/>
          <w:color w:val="auto"/>
        </w:rPr>
      </w:pPr>
      <w:r>
        <w:rPr>
          <w:rFonts w:ascii="Times New Roman" w:cs="Times New Roman" w:eastAsia="Times New Roman" w:hAnsi="Times New Roman"/>
          <w:sz w:val="18"/>
          <w:szCs w:val="18"/>
          <w:color w:val="auto"/>
        </w:rPr>
        <w:t>As omnichannel and supply chain solutions necessarily interact with other business operation systems, our solutions are designed to interoperate with software from other providers as well as with a customer's existing legacy systems. This interfacing and open system capability enables customers to continue using existing computer resources and to choose among a wide variety of existing and emerging computer hardware and peripheral technologies. We also offer certain solutions in either on-premise software or cloud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right="700"/>
        <w:spacing w:after="0" w:line="282" w:lineRule="auto"/>
        <w:rPr>
          <w:sz w:val="20"/>
          <w:szCs w:val="20"/>
          <w:color w:val="auto"/>
        </w:rPr>
      </w:pPr>
      <w:r>
        <w:rPr>
          <w:rFonts w:ascii="Times New Roman" w:cs="Times New Roman" w:eastAsia="Times New Roman" w:hAnsi="Times New Roman"/>
          <w:sz w:val="18"/>
          <w:szCs w:val="18"/>
          <w:color w:val="auto"/>
        </w:rPr>
        <w:t>computing models so that customers can select the option that best meets their requirements for control, flexibility, cost of ownership and time-to-deployment.</w:t>
      </w:r>
    </w:p>
    <w:p>
      <w:pPr>
        <w:spacing w:after="0" w:line="54" w:lineRule="exact"/>
        <w:rPr>
          <w:sz w:val="20"/>
          <w:szCs w:val="20"/>
          <w:color w:val="auto"/>
        </w:rPr>
      </w:pPr>
    </w:p>
    <w:p>
      <w:pPr>
        <w:ind w:right="160" w:firstLine="281"/>
        <w:spacing w:after="0" w:line="254" w:lineRule="auto"/>
        <w:rPr>
          <w:sz w:val="20"/>
          <w:szCs w:val="20"/>
          <w:color w:val="auto"/>
        </w:rPr>
      </w:pPr>
      <w:r>
        <w:rPr>
          <w:rFonts w:ascii="Times New Roman" w:cs="Times New Roman" w:eastAsia="Times New Roman" w:hAnsi="Times New Roman"/>
          <w:sz w:val="18"/>
          <w:szCs w:val="18"/>
          <w:color w:val="auto"/>
        </w:rPr>
        <w:t>We continually invest in artificial intelligence (AI) technology to enhance our functional offerings, with a recent emphasis on Agentic AI advancements. Our AI capabilities are seamlessly embedded across all supply chain execution, planning, and commerce applications, aimed at delivering real-time optimization and value creation. Historically, our AI initiatives have focused on traditional mathematical optimization and machine learning. However, we are now leveraging third-party large language models to unlock value in a broader range of use cases. Looking ahead, we plan to further expand our investments in generative AI, introducing the launch of Manhattan Active® Agents. Our Active Agents add-on module also encompasses Agent Foundry, a way for customers to create their own Agents running as part of the Manhattan Active Platform. These efforts are designed to empower supply chain operators, retailers, and end consumers with AI-driven assistance. We expect our continuing focus on innovation to generate ongoing productivity gains, enhanced user experiences, and increased operational efficiencies.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w:t>
      </w:r>
    </w:p>
    <w:p>
      <w:pPr>
        <w:spacing w:after="0" w:line="121"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We offer a comprehensive program that provides our on-premises software licensees with software upgrades for additional or improved functionality and technological advances incorporating emerging supply chain and industry advances. We are able to remotely access customer systems to perform diagnostics, provide online assistance, and facilitate software upgrades. We offer 24-hour customer support 365 days a year plus software upgrades for a pre-paid annual fee based on the specific solutions the customer has and the service level required. We provide software upgrades on a when-and-if-available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Services</w:t>
      </w:r>
    </w:p>
    <w:p>
      <w:pPr>
        <w:spacing w:after="0" w:line="121" w:lineRule="exact"/>
        <w:rPr>
          <w:sz w:val="20"/>
          <w:szCs w:val="20"/>
          <w:color w:val="auto"/>
        </w:rPr>
      </w:pPr>
    </w:p>
    <w:p>
      <w:pPr>
        <w:ind w:right="380" w:firstLine="255"/>
        <w:spacing w:after="0" w:line="256" w:lineRule="auto"/>
        <w:rPr>
          <w:sz w:val="20"/>
          <w:szCs w:val="20"/>
          <w:color w:val="auto"/>
        </w:rPr>
      </w:pPr>
      <w:r>
        <w:rPr>
          <w:rFonts w:ascii="Times New Roman" w:cs="Times New Roman" w:eastAsia="Times New Roman" w:hAnsi="Times New Roman"/>
          <w:sz w:val="18"/>
          <w:szCs w:val="18"/>
          <w:color w:val="auto"/>
        </w:rPr>
        <w:t>We advise and assist our customers in planning and implementing our solutions through our global Professional Services Organization. To ensure successful long-term customer relationships, consultants assist customers with the initial deployment of our systems, the conversion and transfer of the customer’s historical data onto our systems, and ongoing training, education and system upgrades. We believe our Professional Services teams enable customers to implement our solutions knowledgeably and in the appropriate amount of time, help customers achieve expected results from system investments, continuously identify new opportunities for supply chain advancements and meaningfully add to our industry-specific knowledge base to improve future implementations and product innovations.</w:t>
      </w:r>
    </w:p>
    <w:p>
      <w:pPr>
        <w:spacing w:after="0" w:line="187" w:lineRule="exact"/>
        <w:rPr>
          <w:sz w:val="20"/>
          <w:szCs w:val="20"/>
          <w:color w:val="auto"/>
        </w:rPr>
      </w:pPr>
    </w:p>
    <w:p>
      <w:pPr>
        <w:ind w:right="280" w:firstLine="255"/>
        <w:spacing w:after="0" w:line="261" w:lineRule="auto"/>
        <w:rPr>
          <w:sz w:val="20"/>
          <w:szCs w:val="20"/>
          <w:color w:val="auto"/>
        </w:rPr>
      </w:pPr>
      <w:r>
        <w:rPr>
          <w:rFonts w:ascii="Times New Roman" w:cs="Times New Roman" w:eastAsia="Times New Roman" w:hAnsi="Times New Roman"/>
          <w:sz w:val="18"/>
          <w:szCs w:val="18"/>
          <w:color w:val="auto"/>
        </w:rPr>
        <w:t>Substantially all of our customers utilize some portion of our Professional Services to implement and support our software solutions. Professional Services typically are rendered under time and materials contracts, with services billed by the hour. Professional Services sometimes are rendered under fixed-fee contracts, with payments due on specific dates or milestones. We believe that increased sales of our solutions will drive higher demand for our Professional Services.</w:t>
      </w:r>
    </w:p>
    <w:p>
      <w:pPr>
        <w:spacing w:after="0" w:line="180"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Our Professional Services team delivers deep supply chain and enterprise commerce domain expertise to our customers through industry-specific “best-practices” protocols and processes developed through the collective knowledge we have gained from 30 years of implementing our supply chain solutions worldwide. We also extensively train our consulting personnel on enterprise commerce operations and on our solutions.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Our business consultants, systems analysts and technical personnel assist customers in all phases of implementing our systems, including planning and design, customer-specific module configuration, on-site implementation or conversion from existing systems and integration with customer systems such as Enterprise Resource Planning, web- and mobile-based commerce platforms, and Material Handling Equipment systems. At times, third-party consultants, such as those from major systems integrators, assist our customers with certain implementations.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Change Management Services</w:t>
      </w:r>
    </w:p>
    <w:p>
      <w:pPr>
        <w:spacing w:after="0" w:line="135"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offer training and change management services for new and existing users, enabling our customers to align systems, people and processes. Services provided by Manhattan training experts cover a wide range of support from the intended design to the front line of the customer’s business, including critical end-user adoption with hands-on, live training in a virtualized Manhattan software environment. These programs are provided on a fixed fee per-person, per-class basis. In addition, computer-based training programs can be purchased for a fixed fee for use at client sites. Customers can also pursue certification at the Associate or Professional level through our certification programs for Omnichannel, Supply Chain or Inventory.</w:t>
      </w:r>
    </w:p>
    <w:p>
      <w:pPr>
        <w:spacing w:after="0" w:line="224"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offer Manhattan Training and Change Management Services under six categories: Role-Based Training Paths, Comprehensive Training Programs, Change Management Services, Individual Product Training Courses, End-User Enablement and Knowledge Resources.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Hardware Sales</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As a convenience for our customers, we resell a variety of hardware developed and manufactured by others, including computer hardware, radio frequency terminal networks, radio frequency identification (RFID) chip readers, bar code printers and scanners, and other peripherals. We resell all third-party hardware products and related maintenance pursuant to agreements with manufacturers or through distributor-authorized reseller agreements pursuant to which we are entitled to purchase hardware products and services at discount prices and to receive technical support in connection with product installations and any subsequent product malfunctions. We purchase hardware from our vendors only after receiving an order from a customer. As a result, we do not maintain hardware inventory.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Our objective is to extend our position as the leading global supply chain and omnichannel commerce solutions provider for organizations intent on creating and sustaining market advantages through technology-enabled commerce solutions. Our solutions help global distributors, wholesalers, retailers, logistics providers, and manufacturers successfully manage accelerating and fluctuating market demands, as well as master the increasing complexity and volatility of their local and global supply chains. Our solutions are advanced, highly functional, and highly scalable. They are designed to enable organizations to: create customer experiences consistent with their brand values; improve relationships with suppliers, customers, and logistics providers; leverage investments across supply chain functions; effectively generate revenue and manage costs; and meet dynamically changing customer requirements. We believe our solutions are uniquely positioned to holistically optimize the way companies bring together omnichannel, supply chain, and inventory management:</w:t>
      </w:r>
    </w:p>
    <w:p>
      <w:pPr>
        <w:spacing w:after="0" w:line="82" w:lineRule="exact"/>
        <w:rPr>
          <w:sz w:val="20"/>
          <w:szCs w:val="20"/>
          <w:color w:val="auto"/>
        </w:rPr>
      </w:pPr>
    </w:p>
    <w:p>
      <w:pPr>
        <w:ind w:right="20" w:firstLine="255"/>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Develop and Enhance Software Solutions. </w:t>
      </w:r>
      <w:r>
        <w:rPr>
          <w:rFonts w:ascii="Times New Roman" w:cs="Times New Roman" w:eastAsia="Times New Roman" w:hAnsi="Times New Roman"/>
          <w:sz w:val="18"/>
          <w:szCs w:val="18"/>
          <w:color w:val="auto"/>
        </w:rPr>
        <w:t>We continue to focus our research and development resources on enhancing our Supply Chain, Omnichannel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and Supply Chain Planning Solutions. We offer what we believe to be the broadest and most richly featured software portfolio in the marketplace. To continually expand functionality and value, we provide enhancements to existing solutions and introduce new solutions to address evolving industry standards and market needs. We identify these opportunities through our Product Management, Professional Services, Customer Support and Account Management organizations, through interactions such as ongoing customer consulting engagements and implementations, sessions with our solution user groups, association with leading industry analyst and market research firms, and participation on industry standards and research committees. Our solutions address needs in various vertical markets, including retail, consumer goods, food and grocery, logistics service providers, industrial and wholesale, high technology and electronics, life sciences and government. We intend to continue to enhance our solutions to meet the dynamic requirements of existing and emerging vertical markets, while embedding Agentic AI capabilities directly into Manhattan Active® products and empowering customers to build their own autonomous, domain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agents through our Manhattan Agent Foundry™.</w:t>
      </w:r>
    </w:p>
    <w:p>
      <w:pPr>
        <w:spacing w:after="0" w:line="60"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Expand International Presence. </w:t>
      </w:r>
      <w:r>
        <w:rPr>
          <w:rFonts w:ascii="Times New Roman" w:cs="Times New Roman" w:eastAsia="Times New Roman" w:hAnsi="Times New Roman"/>
          <w:sz w:val="18"/>
          <w:szCs w:val="18"/>
          <w:color w:val="auto"/>
        </w:rPr>
        <w:t>Our solutions offer significant benefits to customers in markets around the world, and for organizations with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 have offices in Australia, Chile, China, France, Germany, India, Italy, Japan, the Netherlands, Singapore, Spain, and the United Kingdom, as well as representatives in Mexico and reseller partnerships in Latin America, Eastern Europe, the Middle East, South Africa, and Asia. Our Europe, Middle East, and Africa (EMEA) operations support sales, implementation services, and customer support functions for customers in Europe, as well as a number of customers across the Middle East, concentrated in countries we consider politically and economically stable. Our Asia Pacific (APAC) operations service emerging opportunities in China, Southeast Asia, and India, as well as more established markets in Japan, Australia and New Zealand. Our emerging markets international strategy includes leveraging the strength of our relationships with current U.S. and Europe-based customers that also have significant international operations.</w:t>
      </w:r>
    </w:p>
    <w:p>
      <w:pPr>
        <w:spacing w:after="0" w:line="77" w:lineRule="exact"/>
        <w:rPr>
          <w:sz w:val="20"/>
          <w:szCs w:val="20"/>
          <w:color w:val="auto"/>
        </w:rPr>
      </w:pPr>
    </w:p>
    <w:p>
      <w:pPr>
        <w:ind w:right="200" w:firstLine="25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Strategic Alliances and Indirect Sales Channels. </w:t>
      </w:r>
      <w:r>
        <w:rPr>
          <w:rFonts w:ascii="Times New Roman" w:cs="Times New Roman" w:eastAsia="Times New Roman" w:hAnsi="Times New Roman"/>
          <w:sz w:val="18"/>
          <w:szCs w:val="18"/>
          <w:color w:val="auto"/>
        </w:rPr>
        <w:t>We currently sell our products primarily through our direct sales personnel, and through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a select number of organizations in emerging markets where we do not currently have a direct sales presence. We have worked on joint projects and joint sales initiatives with industry-leading consultants and software systems implementers, including most of the large consulting firms specializing in our targeted industries, to supplement our direct sales force and professional services organization. We expand our indirect sales channels through reseller agreements, marketing agreements, and agreements with third-party logistics providers. These alliances extend our market coverage and provide us with new business leads and access to trained implementation personnel.</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 w:name="page10"/>
    <w:bookmarkEnd w:id="9"/>
    <w:p>
      <w:pPr>
        <w:ind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Acquire or Invest in Complementary Businesses. </w:t>
      </w:r>
      <w:r>
        <w:rPr>
          <w:rFonts w:ascii="Times New Roman" w:cs="Times New Roman" w:eastAsia="Times New Roman" w:hAnsi="Times New Roman"/>
          <w:sz w:val="18"/>
          <w:szCs w:val="18"/>
          <w:color w:val="auto"/>
        </w:rPr>
        <w:t>We evaluate strategic acquisition opportunities of technologies, solutions and businesses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our platform-based strategy and enable us to enhance and expand our offerings. Preferred acquisition targets are those that would complement our existing solutions and technologies, expand our geographic presence and distribution channels, extend our presence into additional vertical markets with challenges and requirements similar to those we currently serve, and further solidify our leadership position within the primary components of supply chain planning and execution.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employ multi-disciplinary sales teams of professionals with industry experience in sales and technical sales support. We generated the majority of our cloud subscription revenue and software license revenue through direct sales. We plan to continue to invest in our sales, services, and marketing organizations within the Americas, EMEA, and APAC, and to pursue strategic marketing partnerships. Our marketing strategy is to promote our brand, differentiate our value proposition, highlight customer success, and generate demand for our offerings. We use multi-channel global marketing programs to reach new prospects and expand relationships with current customers. Our marketing efforts and lead generation activities consist primarily of press and industry analyst relations, customer endorsements, content marketing, digital marketing including social media such as LinkedIn, YouTube, advertising, trade shows, industry events, joint marketing with strategic partners, and targeted lead generation through account-based marketing. We also host our annual Momentum and Exchange user conferences, webinars, demo days, and regional user groups where the Manhattan community comes together to connect on important topics and each other, get inspired to drive their digital transformation, and get educated on Manhattan solutions and offerings.</w:t>
      </w:r>
    </w:p>
    <w:p>
      <w:pPr>
        <w:spacing w:after="0" w:line="80"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Our sales cycle typically begins with the generation of a sales lead-through in-house marketing efforts, advertising, targeted promotions, web inquiries, trade show presence, speaking engagements, hosted seminars, or other means of referral — or the receipt of a request for proposal from a prospective customer. We qualify leads and close opportunities through a process that includes telephone-based assessments of requirements, responses to requests for proposals, presentations and product demonstrations, site visits, and reference calls with organizations already using our supply chain solutions, and contract negotiations. Sales cycles vary substantially from opportunity to opportunity, but typically require nine to twelve months.</w:t>
      </w:r>
    </w:p>
    <w:p>
      <w:pPr>
        <w:spacing w:after="0" w:line="75"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In addition to new customer sales, we continue to leverage our existing customer base to drive revenue from expansions of their existing solutions as well as sales of new or add-on solutions. To efficiently penetrate emerging global markets, we leverage indirect sales channels, including sales through reseller agreements, marketing agreements, and agreements with third-party logistics providers. To extend our market coverage, generate new business leads, and provide access to trained implementation personnel, we leverage strategic alliances with systems integrators skilled at implementing our solutions. Business referrals and leads are positively influenced by systems integrators, which include most of the large consulting firms and other systems consulting firms specializing in our targeted industries.</w:t>
      </w:r>
    </w:p>
    <w:p>
      <w:pPr>
        <w:spacing w:after="0" w:line="79"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Our Manhattan Value Partner (Manhattan MVP™) and Manhattan GeoPartner™ programs foster joint sales and marketing with other organizations. Manhattan Value Partners are proven software and hardware providers, trusted third-party integrators and consultants who bring added value to customer engagements through vertical industry knowledge or technical specialization. Manhattan MVPs support and complement our supply chain solutions so we can provide customers with a comprehensive approach that is suited to their business requirements. This collaborative program is designed to benefit both Manhattan and our partners through tailored joint marketing, sales and, in some cases, co-development efforts. Among others, Manhattan MVPs include Google Cloud, Deloitte, Accenture, Cognizant, Zebra, and Honeywell. Manhattan GeoPartners represent a select group of companies that sell and implement our solutions in specific geographies around the world, each providing valuable localized expertise to meet customer needs in areas such as Western Europe, Eastern Europe, the Middle East, Latin America, Africa, and the Asia Pacific region.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To date, our customers have been suppliers, manufacturers, distributors, retailers, and logistics providers in a variety of industries. Our top five customers (new or pre-existing) in the aggregate accounted for 10%, 12%, and 11% of total revenue for the years ended December 31, 2025, 2024, and 2023, respectively. No single customer accounted for more than 10% of our total revenue in 2025,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focus our development efforts on new product innovation and on adding new functionality to existing solutions; integrating our various solution offerings; and enhancing the operability of our solutions across our platforms. We believe that our future success depends, in part, on our ability to continue to enhance existing solutions, respond to dynamically changing customer requirements and develop new or enhanced solutions that incorporate new technological developments and emerging supply chain and industry standards. To that end, development frequently focuses on base system enhancements and incorporating new user requirements and features into our solutions. As a result, we deliver packaged, highly configurable solutions with increasingly rich functionality rather than custom-developed software.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 w:name="page11"/>
    <w:bookmarkEnd w:id="10"/>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We leverage internal and external scientific advisors to inform our solution strategies and research and development approaches with the most advanced thinking on supply chain opportunities, challenges and technologies. Our internal research team is comprised of Ph.D.-credentialed math and science experts who work on creating and solving algorithms and other constructs that advance the optimization capabilities and other aspects of our solutions. We also regularly communicate with and are advised by experts from leading educational institutions known for their supply chain disciplines and practitioners from organizations deploying supply chain technology in innovative and market-advancing ways. Together, our research team and external advisors inform both the practical business approaches and the mathematical and scientific inventiveness of our solutions.</w:t>
      </w:r>
    </w:p>
    <w:p>
      <w:pPr>
        <w:spacing w:after="0" w:line="79"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We conduct most research and development internally in the U.S. and India to retain domain knowledge and promote programming continuity standards. However, we may periodically outsource some projects that can be performed separately or that require special skills. We also use third-party translation companies to localize our application software into various languages including Chinese, French, Japanese and Spanish.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Our solutions are solely focused on enterprise commerce capabilities. Our solutions help global distributors, wholesalers, retailers, logistics providers and manufacturers successfully manage accelerating and fluctuating market demands, as well as master the increasing complexity and volatility of their local and global supply chains.</w:t>
      </w:r>
    </w:p>
    <w:p>
      <w:pPr>
        <w:spacing w:after="0" w:line="6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The principal competitive factors affecting the markets for our solutions include: industry expertise; company and solution reputation; company viability; compliance with industry standards; solution architecture; solution functionality and features; integration experience, particularly with enterprise resource planning (ERP) providers and material handling equipment providers; ease and speed of implementation; proven return on investment; historical and current solution quality and performance; total cost of ownership; solution price; and ongoing solution support structure. We believe we compete favorably with respect to each of these factors.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competitors are diverse and offer a variety of solutions directed at various aspects of enterprise commerce. Existing competitors include:</w:t>
      </w:r>
    </w:p>
    <w:p>
      <w:pPr>
        <w:spacing w:after="0" w:line="117" w:lineRule="exact"/>
        <w:rPr>
          <w:sz w:val="20"/>
          <w:szCs w:val="20"/>
          <w:color w:val="auto"/>
        </w:rPr>
      </w:pPr>
    </w:p>
    <w:p>
      <w:pPr>
        <w:ind w:left="520" w:hanging="25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information technology departments of current or potential customers capable of internally developing solutions;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vendors, including: Oracle, SAP and Infor, among others;</w:t>
      </w:r>
    </w:p>
    <w:p>
      <w:pPr>
        <w:spacing w:after="0" w:line="117" w:lineRule="exact"/>
        <w:rPr>
          <w:rFonts w:ascii="Times New Roman" w:cs="Times New Roman" w:eastAsia="Times New Roman" w:hAnsi="Times New Roman"/>
          <w:sz w:val="18"/>
          <w:szCs w:val="18"/>
          <w:color w:val="auto"/>
        </w:rPr>
      </w:pPr>
    </w:p>
    <w:p>
      <w:pPr>
        <w:ind w:left="520" w:right="320" w:hanging="257"/>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execution and planning vendors, including Blue Yonder/Panasonic (formerly JDA), E2Open, Infios (formerly Korber, HighJump), SAS Institute, the Sterling Commerce division of IBM, Relex, and others;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 vendors, including Aptos, Oracle, Jumpmind, Salesforce and others; and</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independent companies that have developed or are attempting to develop supply chain execution solutions or planning solutions that apply either globally or in specific countries.</w:t>
      </w:r>
    </w:p>
    <w:p>
      <w:pPr>
        <w:spacing w:after="0" w:line="16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anticipate ongoing competition from ERP and supply chain management (SCM) applications vendors and from business application software vendors that may broaden their solution offerings by internally developing or acquiring or partnering with independent developers of supply chain planning and execution software. Some of these ERP and other potential competitors have longer operating histories; significantly more financial, technical, marketing, and other resources; greater name recognition; broader solutions; and larger installed bases of customers than us. To the extent that ERP and SCM vendors or other large competitors develop or acquire systems with functionality comparable or superior to ours, their larger customer bases, long-standing customer relationships, and ability to offer broader solutions outside the scope of supply chain could create significant competitive advantage for them. It also is possible that new competitors or alliances among current or new competitors could emerge to win significant market share. Increased competition could result in price reductions, fewer customer orders, reduced earnings and margins, and loss of market share. In turn, this could have a material adverse effect on our business, results of operations, cash flow, and financial condition.</w:t>
      </w:r>
    </w:p>
    <w:p>
      <w:pPr>
        <w:spacing w:after="0" w:line="8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believe we have established meaningful competitive differentiation through our supply chain and omnichannel commerce expertise; our platform-based solution approach; our track record of continuous supply chain commerce innovation and investment; our strong and endorsing customer relationships; our significant success in deploying and supporting supply chain, inventory and omnichannel solutions for market-leading companies; our success in helping our clients address the enterprise impacts of digital commerce; and our ability to out-execute others in identifying sales opportunities and demonstrating expertise throughout the sales cycle. However, to further our market success, we must continue to respond promptly and effectively to economic consumption models such as cloud subscription, technological change and competitors’ innovations. Consequently, we cannot assure that we will not be required to make substantial additional investments in research, development, marketing, sales and customer service efforts in order to meet any competitive threat, or that we will be able to compete successfully in the future.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International Operations: Segments</w:t>
      </w:r>
    </w:p>
    <w:p>
      <w:pPr>
        <w:spacing w:after="0" w:line="121"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have three reportable segments based on geographic location: North and Latin America (“the Americas”); Europe, Middle East and Africa (“EMEA”); and Asia Pacific (“APAC”). For further information on our segments, see Note 8 of the Notes to our Consolidated Financial Statements. International revenue includes all revenue derived from sales to customers outside the United States. At December 31, 2025, we employed approximately 2,600 employees in our international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121"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rely on a combination of copyright, patent, trade secret, trademark and trade dress laws, confidentiality procedures, and contractual provisions to protect our proprietary rights in our products, processes, and technology. We have registered trademarks for Manhattan Associates and the Manhattan Associates logo, as well as a number of our products and features. Generally, we enter into confidentiality and assignment-of-rights agreements with our employees, consultants, customers and potential customers and limit access to, and distribution of, our proprietary information. We provide our SaaS services and license our proprietary products to our customers under services contracts and license agreements that we believe contain appropriate use and other restrictions in order to try to best protect our ownership of our services and products and our proprietary rights and to protect our revenue potential. However, despite our efforts to safeguard and maintain our proprietary rights, we cannot ensure that we will successfully deter misappropriation, unintended disclosure or independent third-party development of our technology or our proprietary rights or information. Policing unauthorized use of our products is difficult, and, while we are unable to determine the extent to which piracy of our software solutions exists, as is the case with any software company, piracy could become a problem. Further, to the extent that we enter into transactions in countries where intellectual property laws are not well developed or are poorly enforced, our efforts to protect our proprietary rights may be ineffective. Whether we seek to enforce our proprietary rights in the U.S. or abroad, our efforts, including litigation to enforce our rights, can result in substantial costs and diversion of resources, and such efforts, or our failure to succeed in such efforts, could have a material adverse effect on our business, financial condition, results of operations or cash flows, regardless of the final outcome.</w:t>
      </w:r>
    </w:p>
    <w:p>
      <w:pPr>
        <w:spacing w:after="0" w:line="8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the number of supply chain management solutions available in the marketplace increases and solution functionality continues to overlap, supply chain software may increasingly become subject to claims of infringement or other misappropriation of intellectual property. Third parties may assert infringement or misappropriation claims against us relating to our products, processes or technology. Such claims, whether or not they have merit, generally are time-consuming and may result in costly litigation, divert management’s attention or cause product shipment delays or require us to enter into royalty or licensing arrangements. Defense of infringement or other misappropriation claims, entering into royalty or licensing agreements, the unavailability of such agreements, or adverse determinations in proprietary rights litigation could have a material adverse effect on our business, results of operations, cash flow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2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At Manhattan, employees are our most-valued asset and are the key to our success. We have offices in Australia, Chile, China, France, Germany, India, Italy, Japan, the Netherlands, Singapore, Spain, the United Kingdom, and the United States, as well as representatives in Mexico and reseller partnerships in Latin America, Eastern Europe, the Middle East, South Africa, and Asia. As of December 31, 2025, we employed approximately 4,370 employees worldwide.</w:t>
      </w:r>
    </w:p>
    <w:p>
      <w:pPr>
        <w:spacing w:after="0" w:line="72" w:lineRule="exact"/>
        <w:rPr>
          <w:sz w:val="20"/>
          <w:szCs w:val="20"/>
          <w:color w:val="auto"/>
        </w:rPr>
      </w:pPr>
    </w:p>
    <w:p>
      <w:pPr>
        <w:jc w:val="center"/>
        <w:ind w:right="80"/>
        <w:spacing w:after="0" w:line="312" w:lineRule="auto"/>
        <w:rPr>
          <w:sz w:val="20"/>
          <w:szCs w:val="20"/>
          <w:color w:val="auto"/>
        </w:rPr>
      </w:pPr>
      <w:r>
        <w:rPr>
          <w:rFonts w:ascii="Times New Roman" w:cs="Times New Roman" w:eastAsia="Times New Roman" w:hAnsi="Times New Roman"/>
          <w:sz w:val="17"/>
          <w:szCs w:val="17"/>
          <w:color w:val="auto"/>
        </w:rPr>
        <w:t>In response to the Covid-19 pandemic, we took steps to best ensure the health and safety of our employees globally. Our daily execution is a hybrid (office and virtual) model, and we continue to find innovative ways to engage with employees, customers, and prospects, ensuring that they are supported.</w:t>
      </w:r>
    </w:p>
    <w:p>
      <w:pPr>
        <w:spacing w:after="0" w:line="30" w:lineRule="exact"/>
        <w:rPr>
          <w:sz w:val="20"/>
          <w:szCs w:val="20"/>
          <w:color w:val="auto"/>
        </w:rPr>
      </w:pPr>
    </w:p>
    <w:p>
      <w:pPr>
        <w:ind w:right="80" w:firstLine="255"/>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Equal Employment Opportunity: </w:t>
      </w:r>
      <w:r>
        <w:rPr>
          <w:rFonts w:ascii="Times New Roman" w:cs="Times New Roman" w:eastAsia="Times New Roman" w:hAnsi="Times New Roman"/>
          <w:sz w:val="18"/>
          <w:szCs w:val="18"/>
          <w:color w:val="auto"/>
        </w:rPr>
        <w:t>Our workforce is highly educated and diverse, which we believe is important for our continued success as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innovator in supply chain and omnichannel commerce software and services. Our employees comprise software developers, engineers, and other technical workers and professionals in business operations and administration. Manhattan’s PRISM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embodies our long-standing global inclusion strategy and is driven by team members with a passion for creating an innovative and inclusive environment. It brings our many cultures together to form a collective brilliance in an environment where individuals from all backgrounds and experiences can feel comfortable as themselves. Through PRISM, we support employee resource groups (ERGs), such as our Multicultural Network (MCN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We also have a dedicated learning path for all employees regarding the importance of equal employment opportunity and career development.</w:t>
      </w:r>
    </w:p>
    <w:p>
      <w:pPr>
        <w:spacing w:after="0" w:line="9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Talent Acquisition, Retention, and Engagement: </w:t>
      </w:r>
      <w:r>
        <w:rPr>
          <w:rFonts w:ascii="Times New Roman" w:cs="Times New Roman" w:eastAsia="Times New Roman" w:hAnsi="Times New Roman"/>
          <w:sz w:val="18"/>
          <w:szCs w:val="18"/>
          <w:color w:val="auto"/>
        </w:rPr>
        <w:t>We employ several strategies for attracting, retaining, and engaging our talented workforce. To build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steady and diverse pipeline of talent, we have a robust in-house recruiting program, which includes campus recruiting focused on colleges and universities with leading supply chain, engineering, and computer science programs. Further, we promote diverse candidate pools, including individuals with disabilities and veterans, and through recruiting efforts at historically black colleges and universities (HBCUs) and schools with a high percentage of women and minorities enrolled in engineering and computer science programs.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2" w:name="page13"/>
    <w:bookmarkEnd w:id="12"/>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To attract and retain employees, we provide competitive compensation and benefits programs, employee recognition, career development opportunities, and access to continual growth through online learning platforms, external training, and in-house live training.</w:t>
      </w:r>
    </w:p>
    <w:p>
      <w:pPr>
        <w:spacing w:after="0" w:line="54"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To further employee enrichment and engagement, we periodically survey our employees regarding their engagement levels. We use these survey results to determine how we can continue to create work environments that enable and energize our employees and to develop a positive culture. None of our U.S. employees are subject to a collective bargaining agreement; our employees in both France (approximately 175 employees) and the Netherlands (approximately 100 employees) are represented by employee works councils. Globally, we have experienced no work stoppages, and we believe our relations with our employees are strong.</w:t>
      </w:r>
    </w:p>
    <w:p>
      <w:pPr>
        <w:spacing w:after="0" w:line="73" w:lineRule="exact"/>
        <w:rPr>
          <w:sz w:val="20"/>
          <w:szCs w:val="20"/>
          <w:color w:val="auto"/>
        </w:rPr>
      </w:pPr>
    </w:p>
    <w:p>
      <w:pPr>
        <w:ind w:right="2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Social Responsibility: </w:t>
      </w:r>
      <w:r>
        <w:rPr>
          <w:rFonts w:ascii="Times New Roman" w:cs="Times New Roman" w:eastAsia="Times New Roman" w:hAnsi="Times New Roman"/>
          <w:sz w:val="18"/>
          <w:szCs w:val="18"/>
          <w:color w:val="auto"/>
        </w:rPr>
        <w:t>At Manhattan, we provide opportunities for our employees to take a full day each year to give back to their communities. We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our Manhattan Purpose™ day. We also give our employees multiple opportunities to serve through community partnerships that we cultivate through our Manhattan Connect™ program.</w:t>
      </w:r>
    </w:p>
    <w:p>
      <w:pPr>
        <w:spacing w:after="0" w:line="65"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Career Development</w:t>
      </w:r>
      <w:r>
        <w:rPr>
          <w:rFonts w:ascii="Times New Roman" w:cs="Times New Roman" w:eastAsia="Times New Roman" w:hAnsi="Times New Roman"/>
          <w:sz w:val="18"/>
          <w:szCs w:val="18"/>
          <w:color w:val="auto"/>
        </w:rPr>
        <w:t>: Through MPOWER™, our performance management program, each employee is empowered to drive their career and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meaningful experiences. Through automated feedback tools and one-on-one meetings with leaders, employees receive guidance and support to enhance their performance and professional development. We prioritize continuous learning for our employees, offering diverse learning opportunities for skill enhancement and growth.</w:t>
      </w:r>
    </w:p>
    <w:p>
      <w:pPr>
        <w:spacing w:after="0" w:line="7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Well-being: </w:t>
      </w:r>
      <w:r>
        <w:rPr>
          <w:rFonts w:ascii="Times New Roman" w:cs="Times New Roman" w:eastAsia="Times New Roman" w:hAnsi="Times New Roman"/>
          <w:sz w:val="18"/>
          <w:szCs w:val="18"/>
          <w:color w:val="auto"/>
        </w:rPr>
        <w:t>We support the mental, emotional, physical, and financial well-being of our employees around the world with various company-provided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self-service tools, including free virtual mental health counseling, free gym access in certain locations, and free educational webinars, speakers, and other resources for personal financial and benefit plan management. Our director of global well-being oversees our well-being programs and continues to look for ways to enhance our offerings.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2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At Manhattan, we are committed to meeting our responsibilities to our stakeholders in the areas of Environmental, Social and Governance (ESG) and believe our ESG objectives align favorably with their interests. Our Environmental, Social and Governance (ESG) Steering Committee, chaired by our CEO, overseen by our Board of Directors, and representing various levels of company management, sets our ESG objectives, ensures our focus and track our progress. More information on our ESG programs can be found on our ESG website, https://www.manh.com/esg.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information with the Securities and Exchange Commission (the “SEC” or the “Commission”). The SEC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68"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 xml:space="preserve">On our website, </w:t>
      </w:r>
      <w:r>
        <w:rPr>
          <w:rFonts w:ascii="Times New Roman" w:cs="Times New Roman" w:eastAsia="Times New Roman" w:hAnsi="Times New Roman"/>
          <w:sz w:val="18"/>
          <w:szCs w:val="18"/>
          <w:u w:val="single" w:color="auto"/>
          <w:color w:val="auto"/>
        </w:rPr>
        <w:t>www.manh.com</w:t>
      </w:r>
      <w:r>
        <w:rPr>
          <w:rFonts w:ascii="Times New Roman" w:cs="Times New Roman" w:eastAsia="Times New Roman" w:hAnsi="Times New Roman"/>
          <w:sz w:val="18"/>
          <w:szCs w:val="18"/>
          <w:color w:val="auto"/>
        </w:rPr>
        <w:t>, we provide free of charge our Annual Report on Form 10-K, Quarterly Reports on Form 10-Q, Current Reports on Form 8-K, and any amendments thereto, as soon as reasonably practicable after they have been electronically filed or furnished to the SEC. Information contained on our website is not part of this Form 10-K or our other filings with the SEC.</w:t>
      </w:r>
    </w:p>
    <w:p>
      <w:pPr>
        <w:spacing w:after="0" w:line="68"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Additionally, our code of business conduct and ethics and the charters of the Audit, Compensation, and Nomination and Governance Committees of our Board of Directors are available on our website.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You should consider the following and other risk factors in evaluating our business or an investment in our common stock. The occurrence of adverse events described in the following risk factors or other adverse events not described in the following risk factors could have a material adverse effect on our business, results of operations, cash flow and financial condition, and could cause the trading price of our common stock to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Our future revenue is dependent on continuing sales from cloud subscriptions, which in turn drive sales of professional services.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dependent on our new customers as well as our large installed customer base to purchase additional cloud subscriptions and professional services from us. Our ability to continue to grow revenues from our cloud solutions depends upon a number of factors, including the quality and functionality of our platform, our ability to design our cloud solutions to meet customer demand, our ability to attract new customers, and our ability to increase sales from existing customers. In future periods customers may discontinue the cloud subscriptions and in turn may not purchase additional professional services from us. If our customers decide to discontinue the cloud subscription, or if they reduce the scope of their professional services agreements, our revenue could</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decrease significantly, and that could have a material adverse effect on our business, results of operations, cash flow and financial condition.</w:t>
      </w:r>
    </w:p>
    <w:p>
      <w:pPr>
        <w:spacing w:after="0" w:line="221"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 depend on third-party data centers to provide our cloud-based solutions. If these providers encounter defects, delays or interruptions in service, our business and operating results could be harmed. Furthermore, if we are unable to manage the costs of these services, our results may be negatively affected. </w:t>
      </w:r>
      <w:r>
        <w:rPr>
          <w:rFonts w:ascii="Times New Roman" w:cs="Times New Roman" w:eastAsia="Times New Roman" w:hAnsi="Times New Roman"/>
          <w:sz w:val="18"/>
          <w:szCs w:val="18"/>
          <w:color w:val="auto"/>
        </w:rPr>
        <w:t>We utilize data center hosting facilities, which are managed by third parties, to provide cloud solutions and hosting services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If the third-party data center facilities fail or encounter any damage, it could result in interruptions in services to our customers. This could result in unanticipated downtime for our customers, and in turn, our reputation and business could be adversely affected. In addition, if our customers use our cloud arrangements in unanticipated ways, this could cause an interruption in service for other customers attempting to access their data.</w:t>
      </w:r>
    </w:p>
    <w:p>
      <w:pPr>
        <w:spacing w:after="0" w:line="186"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Our data center providers may experience events such as natural disasters, weather events, fires, power loss, telecommunications failures, or similar events. The systems, infrastructure, and services of our data center providers may also be subject to human or software errors, viruses, cyber threats, fraud, spikes in customer usage, break-ins, sabotage, acts of vandalism, acts of terrorism, and other misconduct. In addition, they may experience other unanticipated problems, including but not limited to financial difficulties and bankruptcy. Further, we may experience in the future periodic interruptions, delays, and outages in service and availability with our data center providers due to a variety of factors, including Internet connectivity failures, infrastructure changes, human or software errors, website hosting disruptions, and capacity constraints.</w:t>
      </w:r>
    </w:p>
    <w:p>
      <w:pPr>
        <w:spacing w:after="0" w:line="187"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Remediation of any service interruptions may take significant time. If any defects, delays or interruption in our cloud solutions occur, customers could elect to cancel their service, delay or withhold payment to us, not purchase from us in the future or make claims against us, which could adversely affect our business reputation, results of operations, cash flow, and financial condition.</w:t>
      </w:r>
    </w:p>
    <w:p>
      <w:pPr>
        <w:spacing w:after="0" w:line="176"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Furthermore, our data center providers have no obligation to renew their agreements with us on commercially reasonable terms, or at all. If we are unable to renew agreements with them on commercially reasonable terms, if our agreements with our providers are prematurely terminated for any reason, or if our providers are acquired or cease business, we may be required to transfer our infrastructure to new public cloud facilities, and we may incur significant costs and possible service interruptions in connection with doing so. Renewals at higher prices or costs incurred in switching providers may negatively affect our profitability and results. In addition, consolidation in the data center industry may result in overall higher costs for such services, which could also negatively affect our profitability and results.</w:t>
      </w:r>
    </w:p>
    <w:p>
      <w:pPr>
        <w:spacing w:after="0" w:line="183"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Delays in implementing our products could adversely impact our business, results of operations, cash flow, and financial condition. </w:t>
      </w:r>
      <w:r>
        <w:rPr>
          <w:rFonts w:ascii="Times New Roman" w:cs="Times New Roman" w:eastAsia="Times New Roman" w:hAnsi="Times New Roman"/>
          <w:sz w:val="18"/>
          <w:szCs w:val="18"/>
          <w:color w:val="auto"/>
        </w:rPr>
        <w:t>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size and complexity of most of our software implementations, our implementation cycle can be lengthy and may result in delays. Our products may require modification or customization and must integrate with many existing computer systems and software programs of our customers. This can be time-consuming and expensive for customers and can result in implementation and deployment delays of our products. Additional delays could result if we fail to attract, train, and retain services personnel, or if our alliance companies fail to commit sufficient resources towards implementing our software. These delays and resulting customer dissatisfaction could limit our future sales opportunities, harm our reputation, and adversely impact results of operations, cash flow, and financial condition.</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Our liability to clients may be substantial if our systems fail, which could adversely impact our business, results of operations, cash flow, and financial condition</w:t>
      </w:r>
      <w:r>
        <w:rPr>
          <w:rFonts w:ascii="Times New Roman" w:cs="Times New Roman" w:eastAsia="Times New Roman" w:hAnsi="Times New Roman"/>
          <w:sz w:val="18"/>
          <w:szCs w:val="18"/>
          <w:color w:val="auto"/>
        </w:rPr>
        <w:t>. Our products are often critical to the operations of our customers’ businesses and provide benefits that may be difficult to quantify.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products fail to function as required—which, as described in more detail in other risk factors, could be due to software bugs, cloud hosting service failures, security breaches, faulty implementations, risks associated with our use of generative and agentic artificial intelligence, or other reasons—we may be subject to claims for substantial damages. Courts may not enforce provisions in our contracts that would limit our liability or otherwise protect us from liability for damages. Defending a lawsuit, regardless of its merit, could be costly and divert management’s time and attention. Although we maintain general liability insurance and error and omissions coverage, these coverages may not continue to be available on reasonable terms or in sufficient amounts to cover claims against us. In addition, our insurer may disclaim coverage as to any future claim. If claims exceeding the available insurance coverage are successfully asserted against us, or our insurer imposes premium increases or large deductibles or co-insurance requirements on us, then our business, results of operations, cash flow, and financial condition could be adversely affected.</w:t>
      </w:r>
    </w:p>
    <w:p>
      <w:pPr>
        <w:spacing w:after="0" w:line="185"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Our ability to sell our cloud solutions is highly dependent on the quality of our services offerings, and our failure to offer high quality services could adversely impact our business, results of operations, cash flow, and financial condition. </w:t>
      </w:r>
      <w:r>
        <w:rPr>
          <w:rFonts w:ascii="Times New Roman" w:cs="Times New Roman" w:eastAsia="Times New Roman" w:hAnsi="Times New Roman"/>
          <w:sz w:val="18"/>
          <w:szCs w:val="18"/>
          <w:color w:val="auto"/>
        </w:rPr>
        <w:t>Most of our customers rely to some extent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to aid in the implementation of our software solutions. Once our software has been installed and deployed, our customers may depend on us to provide them with ongoing support and resolution of issues relating to our software. Therefore, a high level of service is critical for the continued marketing and sale of our solutions. If we or our partners do not efficiently and effectively install and deploy our software products, or succeed in helping our customers quickly</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 w:name="page15"/>
    <w:bookmarkEnd w:id="14"/>
    <w:p>
      <w:pPr>
        <w:ind w:right="160"/>
        <w:spacing w:after="0" w:line="282" w:lineRule="auto"/>
        <w:rPr>
          <w:sz w:val="20"/>
          <w:szCs w:val="20"/>
          <w:color w:val="auto"/>
        </w:rPr>
      </w:pPr>
      <w:r>
        <w:rPr>
          <w:rFonts w:ascii="Times New Roman" w:cs="Times New Roman" w:eastAsia="Times New Roman" w:hAnsi="Times New Roman"/>
          <w:sz w:val="18"/>
          <w:szCs w:val="18"/>
          <w:color w:val="auto"/>
        </w:rPr>
        <w:t>resolve post-deployment issues, our ability to sell software products to these customers would be adversely affected and our reputation in the marketplace with potential customers could suffer.</w:t>
      </w:r>
    </w:p>
    <w:p>
      <w:pPr>
        <w:spacing w:after="0" w:line="158"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use of generative and agentic artificial intelligence (“AI”) tools may expose us to operational, compliance or other risks, which could adversely impact our business, results of operations, cash flow and financial condition, and subject us to legal liability. </w:t>
      </w:r>
      <w:r>
        <w:rPr>
          <w:rFonts w:ascii="Times New Roman" w:cs="Times New Roman" w:eastAsia="Times New Roman" w:hAnsi="Times New Roman"/>
          <w:sz w:val="18"/>
          <w:szCs w:val="18"/>
          <w:color w:val="auto"/>
        </w:rPr>
        <w:t>We use generative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agentic AI tools in our business for external purposes (e.g., as additional features to our software products) and for internal purposes (e.g., to support our operations and improve the day-to-day performance of our employees), and these tools are mostly developed and marketed by third-party vendors. The use of generative and agentic AI within our business inherently carries a broad range of risks typical to emerging technologies, and requires an investment of resources in the development and integration of the technology. These investments may be costly and could impact our operating results as we continue to incorporate generative and agentic AI into our products and services.</w:t>
      </w:r>
    </w:p>
    <w:p>
      <w:pPr>
        <w:spacing w:after="0" w:line="18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seek to ensure that our use of AI tools in support of our operations and business is carried out in a secure, ethical and lawful manner. We have a global “AI Tools Policy” in place that applies to the use of AI tools by all of our employees and contractors and that provides guidelines for a responsible use of AI within the Company. We also have a cross-functional governance organization (which includes members of our IT security and legal teams) with a mission to oversee the use of AI within the Company and assess and mitigate the risks that may be related to this use.</w:t>
      </w:r>
    </w:p>
    <w:p>
      <w:pPr>
        <w:spacing w:after="0" w:line="180"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However, because the use of generative and agentic AI tools in business environments is a relatively novel development, the extent of benefits, risks, and liabilities attached to it are still unknown. We have identified the following main risks related to our use of AI tools:</w:t>
      </w:r>
    </w:p>
    <w:p>
      <w:pPr>
        <w:spacing w:after="0" w:line="50" w:lineRule="exact"/>
        <w:rPr>
          <w:sz w:val="20"/>
          <w:szCs w:val="20"/>
          <w:color w:val="auto"/>
        </w:rPr>
      </w:pPr>
    </w:p>
    <w:p>
      <w:pPr>
        <w:jc w:val="both"/>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Protection of our proprietary rights. </w:t>
      </w:r>
      <w:r>
        <w:rPr>
          <w:rFonts w:ascii="Times New Roman" w:cs="Times New Roman" w:eastAsia="Times New Roman" w:hAnsi="Times New Roman"/>
          <w:sz w:val="18"/>
          <w:szCs w:val="18"/>
          <w:color w:val="auto"/>
        </w:rPr>
        <w:t>Our developers may use, in limited instances, generative and agentic AI tools to support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computer code writing activities for our proprietary software products. According to recent decisions of governmental entities and courts (such as the U.S. Copyright Office and U.S. Court of Appeals for the Federal Circuit), U.S. copyright is limited to protecting works created by human authors. Many other jurisdictions around the world follow the same approach. We may therefore face challenges in obtaining U.S. copyright or other intellectual property rights worldwide on certain parts of our products that were developed using generative and agentic AI tools (for further information regarding this risk, see the risk factor entitled “</w:t>
      </w:r>
      <w:r>
        <w:rPr>
          <w:rFonts w:ascii="Times New Roman" w:cs="Times New Roman" w:eastAsia="Times New Roman" w:hAnsi="Times New Roman"/>
          <w:sz w:val="18"/>
          <w:szCs w:val="18"/>
          <w:i w:val="1"/>
          <w:iCs w:val="1"/>
          <w:color w:val="auto"/>
        </w:rPr>
        <w:t>Our failure to adequately protect our proprietary rights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adversely impact our business, results of operations, cash flow, and financial condition</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adoption-related risk. </w:t>
      </w:r>
      <w:r>
        <w:rPr>
          <w:rFonts w:ascii="Times New Roman" w:cs="Times New Roman" w:eastAsia="Times New Roman" w:hAnsi="Times New Roman"/>
          <w:sz w:val="18"/>
          <w:szCs w:val="18"/>
          <w:color w:val="auto"/>
        </w:rPr>
        <w:t>As we include generative and agentic AI features in our software products, some of our customers, especially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in highly regulated industries, may be reluctant or unwilling to use generative and agentic AI products. Accordingly, their reluctance to do so could reduce or delay customer adoption, and this may adversely affect our business, results of operations, and financial condition.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Operational risks. </w:t>
      </w:r>
      <w:r>
        <w:rPr>
          <w:rFonts w:ascii="Times New Roman" w:cs="Times New Roman" w:eastAsia="Times New Roman" w:hAnsi="Times New Roman"/>
          <w:sz w:val="18"/>
          <w:szCs w:val="18"/>
          <w:color w:val="auto"/>
        </w:rPr>
        <w:t>Our use of third-party generative and agentic AI tools exposes us to greater risks related to the quality of our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further information regarding this risk, see the risk factor entitled “</w:t>
      </w:r>
      <w:r>
        <w:rPr>
          <w:rFonts w:ascii="Times New Roman" w:cs="Times New Roman" w:eastAsia="Times New Roman" w:hAnsi="Times New Roman"/>
          <w:sz w:val="18"/>
          <w:szCs w:val="18"/>
          <w:i w:val="1"/>
          <w:iCs w:val="1"/>
          <w:color w:val="auto"/>
        </w:rPr>
        <w:t>Our ability to sell our cloud solutions is highly dependent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quality of our services offerings, and our failure to offer high quality services could adversely impact our business, results of operations, cash flow, and financial condition</w:t>
      </w:r>
      <w:r>
        <w:rPr>
          <w:rFonts w:ascii="Times New Roman" w:cs="Times New Roman" w:eastAsia="Times New Roman" w:hAnsi="Times New Roman"/>
          <w:sz w:val="18"/>
          <w:szCs w:val="18"/>
          <w:color w:val="auto"/>
        </w:rPr>
        <w:t>”). For example:</w:t>
      </w:r>
    </w:p>
    <w:p>
      <w:pPr>
        <w:spacing w:after="0" w:line="72" w:lineRule="exact"/>
        <w:rPr>
          <w:rFonts w:ascii="Times New Roman" w:cs="Times New Roman" w:eastAsia="Times New Roman" w:hAnsi="Times New Roman"/>
          <w:sz w:val="18"/>
          <w:szCs w:val="18"/>
          <w:color w:val="auto"/>
        </w:rPr>
      </w:pPr>
    </w:p>
    <w:p>
      <w:pPr>
        <w:jc w:val="both"/>
        <w:ind w:left="2040" w:hanging="505"/>
        <w:spacing w:after="0" w:line="258"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and agentic AI features embedded in our software products may create incomplete, inaccurate, unwanted or offensive outputs and may cause our software products not to operate as expected, and this could result in customer dissatisfaction or potential claims related to product performance (for further information regarding this risk, see the risk factor entitled “</w:t>
      </w:r>
      <w:r>
        <w:rPr>
          <w:rFonts w:ascii="Times New Roman" w:cs="Times New Roman" w:eastAsia="Times New Roman" w:hAnsi="Times New Roman"/>
          <w:sz w:val="18"/>
          <w:szCs w:val="18"/>
          <w:i w:val="1"/>
          <w:iCs w:val="1"/>
          <w:color w:val="auto"/>
        </w:rPr>
        <w:t>Our software may contain undetected errors or “bugs” causing harm to our reputation, which could adversely impact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results of operations, cash flow, and financial condition</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2040" w:hanging="505"/>
        <w:spacing w:after="0" w:line="258" w:lineRule="auto"/>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generative and agentic AI tools to power features of our software products may impair our ability to correct defects or cure unavailability in a timely manner because we have no control over our third-party vendors’ operations and infrastructure (for further information regarding this risk, see the risk factor entitled “</w:t>
      </w:r>
      <w:r>
        <w:rPr>
          <w:rFonts w:ascii="Times New Roman" w:cs="Times New Roman" w:eastAsia="Times New Roman" w:hAnsi="Times New Roman"/>
          <w:sz w:val="18"/>
          <w:szCs w:val="18"/>
          <w:i w:val="1"/>
          <w:iCs w:val="1"/>
          <w:color w:val="auto"/>
        </w:rPr>
        <w:t>We incorporate third-party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our solutions, the failure or unavailability of which could adversely affect our ability to sell, support, and service our products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Cybersecurity and Third-Party Rights</w:t>
      </w:r>
      <w:r>
        <w:rPr>
          <w:rFonts w:ascii="Times New Roman" w:cs="Times New Roman" w:eastAsia="Times New Roman" w:hAnsi="Times New Roman"/>
          <w:sz w:val="18"/>
          <w:szCs w:val="18"/>
          <w:color w:val="auto"/>
        </w:rPr>
        <w:t>. Generally, because we mainly use generative and agentic AI tools that are developed by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we have lesser control over the further use or distribution of any content we may share or create via these third-party tools. In addition, the vendors of these tools may fail to comply with their contractual obligations to us, or not provide warranties, indemnities or other remedies, regarding the confidentiality or security of this content. Further, our use of generative and agentic AI tools to generate computer code may present additional security risks because the generated source code may contain security vulnerabilities. As a result, our sensitive information or that of our employees or customers could be leaked or disclosed, or other IT security incidents may arise (for further information regarding this risk, see the risk factor entitled “</w:t>
      </w:r>
      <w:r>
        <w:rPr>
          <w:rFonts w:ascii="Times New Roman" w:cs="Times New Roman" w:eastAsia="Times New Roman" w:hAnsi="Times New Roman"/>
          <w:sz w:val="18"/>
          <w:szCs w:val="18"/>
          <w:i w:val="1"/>
          <w:iCs w:val="1"/>
          <w:color w:val="auto"/>
        </w:rPr>
        <w:t>If our data protection or other security measures are compromised and, as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ind w:left="1020"/>
        <w:spacing w:after="0" w:line="256" w:lineRule="auto"/>
        <w:rPr>
          <w:sz w:val="20"/>
          <w:szCs w:val="20"/>
          <w:color w:val="auto"/>
        </w:rPr>
      </w:pPr>
      <w:r>
        <w:rPr>
          <w:rFonts w:ascii="Times New Roman" w:cs="Times New Roman" w:eastAsia="Times New Roman" w:hAnsi="Times New Roman"/>
          <w:sz w:val="18"/>
          <w:szCs w:val="18"/>
          <w:i w:val="1"/>
          <w:iCs w:val="1"/>
          <w:color w:val="auto"/>
        </w:rPr>
        <w:t>a result, our data, our customers’ data or our IT systems are accessed improperly, made unavailable, or improperly modified, our products and services may be perceived as vulnerable…</w:t>
      </w:r>
      <w:r>
        <w:rPr>
          <w:rFonts w:ascii="Times New Roman" w:cs="Times New Roman" w:eastAsia="Times New Roman" w:hAnsi="Times New Roman"/>
          <w:sz w:val="18"/>
          <w:szCs w:val="18"/>
          <w:color w:val="auto"/>
        </w:rPr>
        <w:t>”). In addition, we have little insight into, and no control over, the content used or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vendors to train their generative and agentic AI tools. For example, there is ongoing litigation over whether the use of copyrighted materials to train AI models is lawful, however the impact of its outcome on our ability to use certain generative and agentic AI tools is unknown. Further, the AI generative and agentic tools used by third party vendors could also generate content that infringes upon or misappropriates other third-party intellectual property rights. This risk is intensified by the current trend of entities seeking patents and other intellectual property protections in AI to gain a competitive edge.</w:t>
      </w:r>
    </w:p>
    <w:p>
      <w:pPr>
        <w:spacing w:after="0" w:line="73" w:lineRule="exact"/>
        <w:rPr>
          <w:sz w:val="20"/>
          <w:szCs w:val="20"/>
          <w:color w:val="auto"/>
        </w:rPr>
      </w:pPr>
    </w:p>
    <w:p>
      <w:pPr>
        <w:jc w:val="both"/>
        <w:ind w:left="1020" w:hanging="503"/>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risks. </w:t>
      </w:r>
      <w:r>
        <w:rPr>
          <w:rFonts w:ascii="Times New Roman" w:cs="Times New Roman" w:eastAsia="Times New Roman" w:hAnsi="Times New Roman"/>
          <w:sz w:val="18"/>
          <w:szCs w:val="18"/>
          <w:color w:val="auto"/>
        </w:rPr>
        <w:t>Several jurisdictions around the globe, including in Europe and the U.S. (at state and federal level), have proposed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already enacted legislative frameworks governing the development, use and marketing of AI tools, including the European Union’s AI Act and the Colorado AI Act. We expect other jurisdictions will adopt similar regulations. Additionally, certain privacy laws may apply to our use of generative and agentic AI tools (such as a data subject’s right to have a precise view of how their personal data are processed). These legal requirements may make it harder for us to conduct our business using AI (especially third-party AI tools), lead to regulatory fines or penalties, require us to change our business practices, or prevent or limit our use of AI tools, which in turn, may lead our business to be less efficient, or us to be at a competitive disadvantage (for further information regarding this risk, see the risk factor entitled “</w:t>
      </w:r>
      <w:r>
        <w:rPr>
          <w:rFonts w:ascii="Times New Roman" w:cs="Times New Roman" w:eastAsia="Times New Roman" w:hAnsi="Times New Roman"/>
          <w:sz w:val="18"/>
          <w:szCs w:val="18"/>
          <w:i w:val="1"/>
          <w:iCs w:val="1"/>
          <w:color w:val="auto"/>
        </w:rPr>
        <w:t>Our 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must be advanced if we are to remain competitive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if not addressed, could adversely affect our business, financial condition, results of operations, and growth prospects.</w:t>
      </w:r>
    </w:p>
    <w:p>
      <w:pPr>
        <w:spacing w:after="0" w:line="158"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pricing models may need to be modified due to price competition. </w:t>
      </w:r>
      <w:r>
        <w:rPr>
          <w:rFonts w:ascii="Times New Roman" w:cs="Times New Roman" w:eastAsia="Times New Roman" w:hAnsi="Times New Roman"/>
          <w:sz w:val="18"/>
          <w:szCs w:val="18"/>
          <w:color w:val="auto"/>
        </w:rPr>
        <w:t>The competitive markets in which we operate may oblige us to reduce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in order to contend with the pricing models of our competitors. If our competitors discount certain products or services, we may have to lower prices on certain products or services in order to attract or retain customers. Any such price modifications would likely reduce margins and could adversely affect our business, results of operations, cash flow, and financial condition.</w:t>
      </w:r>
    </w:p>
    <w:p>
      <w:pPr>
        <w:spacing w:after="0" w:line="176"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 may encounter long sales cycles, particularly with our larger customers, which could have an adverse effect on the amount, timing, and predictability of our revenue, adversely affecting our business, results of operations, cash flow, and financial condition. </w:t>
      </w:r>
      <w:r>
        <w:rPr>
          <w:rFonts w:ascii="Times New Roman" w:cs="Times New Roman" w:eastAsia="Times New Roman" w:hAnsi="Times New Roman"/>
          <w:sz w:val="18"/>
          <w:szCs w:val="18"/>
          <w:color w:val="auto"/>
        </w:rPr>
        <w:t>Our products have lengthy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cycles, which typically extend from nine to twelve months and may take up to several years. Potential and existing customers, particularly larger enterprise customers, often commit significant resources to an evaluation of available solutions and services and require us to expend substantial time and resources in connection with our sales efforts. The length of our sales cycles also varies depending on the type of customer to which we are selling, the product being sold, and customer requirements. We may incur substantial sales and marketing expenses and expend significant management effort during this time, regardless of whether we make a sale. Many of the key risks relating to sales processes are beyond our control, including: our customers’ budgetary and scheduling constraints; the timing of our customers’ budget cycles and approval processes; our customers’ willingness to replace their currently deployed software solutions; and general economic conditions.</w:t>
      </w:r>
    </w:p>
    <w:p>
      <w:pPr>
        <w:spacing w:after="0" w:line="19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As a result of these lengthy and uncertain sales cycles of our products and services, it is difficult for us to predict when customers may purchase products or services from us, thereby affecting when we can recognize the associated revenue, and our operating results may vary significantly and may be adversely affected. The length of our sales cycle makes us susceptible to having pending transactions delayed or terminated by our customers if they decide to delay or withdraw funding for IT projects. Our customers may decide to delay or withdraw funding for IT projects for various reasons, including, but not limited to, global economic cycles and capital market fluctuations.</w:t>
      </w:r>
    </w:p>
    <w:p>
      <w:pPr>
        <w:spacing w:after="0" w:line="17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Our technology must be advanced if we are to remain competitive</w:t>
      </w:r>
      <w:r>
        <w:rPr>
          <w:rFonts w:ascii="Times New Roman" w:cs="Times New Roman" w:eastAsia="Times New Roman" w:hAnsi="Times New Roman"/>
          <w:sz w:val="18"/>
          <w:szCs w:val="18"/>
          <w:color w:val="auto"/>
        </w:rPr>
        <w:t>. The market for our products is characterized by rapid technological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frequent new product introductions and enhancements, changes in customer demands, and evolving industry standards. Our existing products could be rendered obsolete if we fail to continue to advance our technology. We have also found that the technological life cycles of our products are difficult to estimate, partially because of changing demands of other participants in the supply chain. We believe that our future success will depend in large part upon our ability to continue to enhance our current product line while we concurrently develop and introduce new products that keep pace with competitive and technological developments. These developments require us to continue to make substantial product development investments. Although we are presently developing a number of product enhancements to our product sets, we cannot assure you that these enhancements will be completed on a timely basis or gain customer acceptance.</w:t>
      </w:r>
    </w:p>
    <w:p>
      <w:pPr>
        <w:spacing w:after="0" w:line="185"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ability to maintain and develop our brand is critical for our continued success. </w:t>
      </w:r>
      <w:r>
        <w:rPr>
          <w:rFonts w:ascii="Times New Roman" w:cs="Times New Roman" w:eastAsia="Times New Roman" w:hAnsi="Times New Roman"/>
          <w:sz w:val="18"/>
          <w:szCs w:val="18"/>
          <w:color w:val="auto"/>
        </w:rPr>
        <w:t>The brand identity we have developed has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to the continued success of our business. Our ability to maintain and develop our brand is critical in expanding our base of customers, partners and employees. Our brand will depend largely on our ability to remain a technology leader and continue to provide high-quality innovative products, services, and features. Significant investments may be required in order to maintain and develop our brand. However, the investments may later be proven to be unsuccessful. If we fail to maintain and develop</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p>
      <w:pPr>
        <w:ind w:right="60"/>
        <w:spacing w:after="0" w:line="282" w:lineRule="auto"/>
        <w:rPr>
          <w:sz w:val="20"/>
          <w:szCs w:val="20"/>
          <w:color w:val="auto"/>
        </w:rPr>
      </w:pPr>
      <w:r>
        <w:rPr>
          <w:rFonts w:ascii="Times New Roman" w:cs="Times New Roman" w:eastAsia="Times New Roman" w:hAnsi="Times New Roman"/>
          <w:sz w:val="18"/>
          <w:szCs w:val="18"/>
          <w:color w:val="auto"/>
        </w:rPr>
        <w:t>our brand, or if we incur excessive expenses in our efforts to do so, our business, operating results and financial condition may be materially and adversely affected.</w:t>
      </w:r>
    </w:p>
    <w:p>
      <w:pPr>
        <w:spacing w:after="0" w:line="50" w:lineRule="exact"/>
        <w:rPr>
          <w:sz w:val="20"/>
          <w:szCs w:val="20"/>
          <w:color w:val="auto"/>
        </w:rPr>
      </w:pPr>
    </w:p>
    <w:p>
      <w:pPr>
        <w:ind w:right="40" w:firstLine="28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Disruption in our vertical markets could materially affect our revenues and results of operations. </w:t>
      </w:r>
      <w:r>
        <w:rPr>
          <w:rFonts w:ascii="Times New Roman" w:cs="Times New Roman" w:eastAsia="Times New Roman" w:hAnsi="Times New Roman"/>
          <w:sz w:val="18"/>
          <w:szCs w:val="18"/>
          <w:color w:val="auto"/>
        </w:rPr>
        <w:t>Our largest market, retail, is experiencing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business disruption and transformation, primarily driven by digital commerce. We believe that disruption is causing many traditional retailers to assess the challenges of the transformation and evaluate their store networks and costs, as they face increasing competitive pressures from e-commerce retailers. Since our solutions often require our customers to make significant capital investments, traditional retailers could delay purchase decisions on our products. While this disruption may present significant opportunity for our company, we believe extended sales cycles for large cloud subscriptions could have a material adverse effect on our revenues and results of operations.</w:t>
      </w:r>
    </w:p>
    <w:p>
      <w:pPr>
        <w:spacing w:after="0" w:line="18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Inability to attract, integrate, and retain management and other personnel could adversely impact our business, results of operations, cash flow, and financial condition. </w:t>
      </w:r>
      <w:r>
        <w:rPr>
          <w:rFonts w:ascii="Times New Roman" w:cs="Times New Roman" w:eastAsia="Times New Roman" w:hAnsi="Times New Roman"/>
          <w:sz w:val="18"/>
          <w:szCs w:val="18"/>
          <w:color w:val="auto"/>
        </w:rPr>
        <w:t>Our success greatly depends on the continued service of our executives, as well as our other key senior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personnel, and sales personnel. Our future success will depend in large part upon our ability to attract, retain, and motivate highly skilled executives and employees. We face significant competition for individuals with the skills required to perform the services we offer, and thus we may encounter increased compensation costs that are not offset by increased revenue. In the broader technology industry in which we compete for talented hires, there is substantial and continuous competition for engineers with high levels of experience in designing, developing and managing software, as well as competition for sales executives and operations personnel. We cannot guarantee that we will be able to attract and retain sufficient numbers of these highly skilled employees or motivate them. Because of the complexity of the supply chain market, we may experience a significant time lag between the date on which technical and sales personnel are hired and the time at which these persons become fully productive.</w:t>
      </w:r>
    </w:p>
    <w:p>
      <w:pPr>
        <w:spacing w:after="0" w:line="188" w:lineRule="exact"/>
        <w:rPr>
          <w:sz w:val="20"/>
          <w:szCs w:val="20"/>
          <w:color w:val="auto"/>
        </w:rPr>
      </w:pPr>
    </w:p>
    <w:p>
      <w:pPr>
        <w:ind w:right="34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We may not be able to continue to successfully compete with other companies</w:t>
      </w:r>
      <w:r>
        <w:rPr>
          <w:rFonts w:ascii="Times New Roman" w:cs="Times New Roman" w:eastAsia="Times New Roman" w:hAnsi="Times New Roman"/>
          <w:sz w:val="18"/>
          <w:szCs w:val="18"/>
          <w:color w:val="auto"/>
        </w:rPr>
        <w:t>. We compete in markets that are intensely competitive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become more competitive as current competitors expand their product offerings. Our current competitors come from many segments of the software industry and offer a variety of solutions directed at various aspects of the extended supply chain, as well as the enterprise as a whole. We face competition for product sales from:</w:t>
      </w:r>
    </w:p>
    <w:p>
      <w:pPr>
        <w:spacing w:after="0" w:line="72" w:lineRule="exact"/>
        <w:rPr>
          <w:sz w:val="20"/>
          <w:szCs w:val="20"/>
          <w:color w:val="auto"/>
        </w:rPr>
      </w:pPr>
    </w:p>
    <w:p>
      <w:pPr>
        <w:ind w:left="520" w:hanging="25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information technology departments of current or potential customers capable of internally developing solutions;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vendors, including: Oracle, SAP, and Infor, among others;</w:t>
      </w:r>
    </w:p>
    <w:p>
      <w:pPr>
        <w:spacing w:after="0" w:line="117" w:lineRule="exact"/>
        <w:rPr>
          <w:rFonts w:ascii="Times New Roman" w:cs="Times New Roman" w:eastAsia="Times New Roman" w:hAnsi="Times New Roman"/>
          <w:sz w:val="18"/>
          <w:szCs w:val="18"/>
          <w:color w:val="auto"/>
        </w:rPr>
      </w:pPr>
    </w:p>
    <w:p>
      <w:pPr>
        <w:ind w:left="520" w:right="440" w:hanging="257"/>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execution and planning vendors, including Blue Yonder/Panasonic (formerly JDA), E2Open, Korber (formerly HighJump), SAS Institute, the Sterling Commerce division of IBM, Relex, and others;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 vendors, including Aptos, Oracle, Jumpmind, Salesforce and others; and</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independent companies that have developed or are attempting to develop supply chain execution solutions or planning solutions that apply either globally or in specific countries.</w:t>
      </w:r>
    </w:p>
    <w:p>
      <w:pPr>
        <w:spacing w:after="0" w:line="16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Some of these potential competitors have longer operating histories, significantly more financial, technical, marketing, and other resources, greater name recognition, broader solutions, and larger installed bases of customers than we do. We believe the domain expertise required to continuously innovate supply chain technology in our target markets, effectively and efficiently implement solutions, identify and attract sales opportunities, and compete successfully in the sales cycle provides us with a competitive advantage and is a significant barrier to market entry. However, in order to be successful in the future, we must continue to respond promptly and effectively to technological change and competitors’ innovations, and consequently we cannot assure you that we will not be required to make substantial additional investments in connection with our research, development, marketing, sales, and customer service efforts in order to meet any competitive threat, or that we will be able to compete successfully in the future. Some of our competitors have significant resources at their disposal, and the degree to which we will compete with their new innovative products in the marketplace is undetermined. Increased competition could result in price reductions, fewer customer orders, reduced earnings and margins, and loss of market share. In turn, this could have a material adverse effect on our business, results of operations, cash flow, and financial condition.</w:t>
      </w:r>
    </w:p>
    <w:p>
      <w:pPr>
        <w:spacing w:after="0" w:line="190" w:lineRule="exact"/>
        <w:rPr>
          <w:sz w:val="20"/>
          <w:szCs w:val="20"/>
          <w:color w:val="auto"/>
        </w:rPr>
      </w:pPr>
    </w:p>
    <w:p>
      <w:pPr>
        <w:jc w:val="both"/>
        <w:ind w:right="60" w:firstLine="255"/>
        <w:spacing w:after="0" w:line="268" w:lineRule="auto"/>
        <w:rPr>
          <w:sz w:val="20"/>
          <w:szCs w:val="20"/>
          <w:color w:val="auto"/>
        </w:rPr>
      </w:pPr>
      <w:r>
        <w:rPr>
          <w:rFonts w:ascii="Times New Roman" w:cs="Times New Roman" w:eastAsia="Times New Roman" w:hAnsi="Times New Roman"/>
          <w:sz w:val="18"/>
          <w:szCs w:val="18"/>
          <w:b w:val="1"/>
          <w:bCs w:val="1"/>
          <w:color w:val="auto"/>
        </w:rPr>
        <w:t>Our operating results are substantially dependent on one line of business</w:t>
      </w:r>
      <w:r>
        <w:rPr>
          <w:rFonts w:ascii="Times New Roman" w:cs="Times New Roman" w:eastAsia="Times New Roman" w:hAnsi="Times New Roman"/>
          <w:sz w:val="18"/>
          <w:szCs w:val="18"/>
          <w:color w:val="auto"/>
        </w:rPr>
        <w:t>. We continue to derive our revenues from sales of our supply chain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and related professional services. Accordingly, any factor adversely affecting the markets for supply chain cloud solutions could have an adverse effect on our business, results of operations, cash flow, and financial condition.</w:t>
      </w:r>
    </w:p>
    <w:p>
      <w:pPr>
        <w:spacing w:after="0" w:line="17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Because we recognize revenue from our cloud subscriptions over the term of the subscription, downturns or upturns in new business may not be immediately reflected in our results of operations. </w:t>
      </w:r>
      <w:r>
        <w:rPr>
          <w:rFonts w:ascii="Times New Roman" w:cs="Times New Roman" w:eastAsia="Times New Roman" w:hAnsi="Times New Roman"/>
          <w:sz w:val="18"/>
          <w:szCs w:val="18"/>
          <w:color w:val="auto"/>
        </w:rPr>
        <w:t>We recognize revenue from cloud customers over the terms of their subscription agreements.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most of the cloud revenue we report in each quarter is attributable to agreements entered into during previous quarters. Consequently, a decline in new or renewed subscriptions in any one quarter may have a minimal impact on our revenue for that quarter but will negatively affect our revenue in future quarters. Accordingly, if we experience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significant downturns in sales and market acceptance of our offerings, it may not be fully reflected in our results of operations until future periods.</w:t>
      </w:r>
    </w:p>
    <w:p>
      <w:pPr>
        <w:spacing w:after="0" w:line="221"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research and development activities may not generate significant returns. </w:t>
      </w:r>
      <w:r>
        <w:rPr>
          <w:rFonts w:ascii="Times New Roman" w:cs="Times New Roman" w:eastAsia="Times New Roman" w:hAnsi="Times New Roman"/>
          <w:sz w:val="18"/>
          <w:szCs w:val="18"/>
          <w:color w:val="auto"/>
        </w:rPr>
        <w:t>We anticipate continuing to make significant investments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research and development (R&amp;D) and related product opportunities because we believe that we must continue to allocate significant resources to our research and development activities to compete successfully. There is no assurance that our research and development will successfully anticipate market needs and result in significant new marketable solutions or enhancements to our solutions. Accordingly, we cannot estimate with any certainty when we will, if ever, receive significant revenues from these investments. In addition, if, we fail to compete effectively with our competitors’ R&amp;D programs, because we fail to maintain adequate R&amp;D resources or otherwise, our competitors may gain an advantage, and our business, results of operations, cash flow, and financial condition could be adversely affected.</w:t>
      </w:r>
    </w:p>
    <w:p>
      <w:pPr>
        <w:spacing w:after="0" w:line="183"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Our growth is dependent upon the successful development of our direct and indirect sales channel mix</w:t>
      </w:r>
      <w:r>
        <w:rPr>
          <w:rFonts w:ascii="Times New Roman" w:cs="Times New Roman" w:eastAsia="Times New Roman" w:hAnsi="Times New Roman"/>
          <w:sz w:val="18"/>
          <w:szCs w:val="18"/>
          <w:color w:val="auto"/>
        </w:rPr>
        <w:t>. We believe that our future growth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depend on further developing and maintaining a successful direct sales force and strategic relationships with systems integrators and other technology companies. We invest significant resources to maintain and develop our sales channels. Our investment could adversely affect our operating results if these efforts do not generate cloud and services revenue necessary to offset the investment.</w:t>
      </w:r>
    </w:p>
    <w:p>
      <w:pPr>
        <w:spacing w:after="0" w:line="176" w:lineRule="exact"/>
        <w:rPr>
          <w:sz w:val="20"/>
          <w:szCs w:val="20"/>
          <w:color w:val="auto"/>
        </w:rPr>
      </w:pPr>
    </w:p>
    <w:p>
      <w:pPr>
        <w:ind w:right="36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Mergers or other strategic transactions involving our competitors could weaken our competitive position or reduce our revenue.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competitors have been consolidating, which may make them more formidable. Competing with stronger companies may cause us to experience pricing pressure and loss of market share, either of which could have a material adverse effect on our business, results of operations, cash flow, and financial condition.</w:t>
      </w:r>
    </w:p>
    <w:p>
      <w:pPr>
        <w:spacing w:after="0" w:line="176"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business, results of operations, cash flow, and financial condition may be adversely affected if we cannot integrate acquired companies or manage joint ventures. </w:t>
      </w:r>
      <w:r>
        <w:rPr>
          <w:rFonts w:ascii="Times New Roman" w:cs="Times New Roman" w:eastAsia="Times New Roman" w:hAnsi="Times New Roman"/>
          <w:sz w:val="18"/>
          <w:szCs w:val="18"/>
          <w:color w:val="auto"/>
        </w:rPr>
        <w:t>We may from time to time acquire companies with complementary products and services. These acquisitions will expose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risks and costs, including those arising from the following: assimilating new operations and personnel; diverting financial and management resources from existing operations; and integrating acquired technologies. We may not be able to generate sufficient revenue from any of these acquisitions to offset the associated acquisition costs. We may also evaluate joint venture relationships with complementary businesses. Any joint venture we enter into would involve many of the same risks posed by acquisitions, particularly the following: risks associated with the diversion of resources; the inability to generate sufficient revenue; the management of relationships with third parties; and potential additional expenses.</w:t>
      </w:r>
    </w:p>
    <w:p>
      <w:pPr>
        <w:spacing w:after="0" w:line="183"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Our business may require additional capital</w:t>
      </w:r>
      <w:r>
        <w:rPr>
          <w:rFonts w:ascii="Times New Roman" w:cs="Times New Roman" w:eastAsia="Times New Roman" w:hAnsi="Times New Roman"/>
          <w:sz w:val="18"/>
          <w:szCs w:val="18"/>
          <w:color w:val="auto"/>
        </w:rPr>
        <w:t>. We may require additional capital to finance our growth or to fund acquisitions or investments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complementary businesses, technologies or product lines. Our capital requirements may be impacted by many factors, including: demand for our products; the timing of and extent to which we invest in new technology; the timing of and extent to which we acquire other companies; the level and timing of revenue; the expenses of sales and marketing and new product development; the success and related expense of increasing our brand awareness; the cost of facilities to accommodate a growing workforce; the extent to which competitors are successful in developing new products and increasing their market share; and the costs involved in maintaining and enforcing intellectual property rights.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Cybersecurity</w:t>
      </w:r>
    </w:p>
    <w:p>
      <w:pPr>
        <w:spacing w:after="0" w:line="225"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software may contain undetected errors or “bugs” causing harm to our reputation, which could adversely impact our business, results of operations, cash flow, and financial condition. </w:t>
      </w:r>
      <w:r>
        <w:rPr>
          <w:rFonts w:ascii="Times New Roman" w:cs="Times New Roman" w:eastAsia="Times New Roman" w:hAnsi="Times New Roman"/>
          <w:sz w:val="18"/>
          <w:szCs w:val="18"/>
          <w:color w:val="auto"/>
        </w:rPr>
        <w:t>Software products as complex as those we offer might contain undetected errors or failures when we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introduce them or when we release new versions. Despite testing, we cannot ensure errors will not be found in new products or product enhancements after commercial release. Any errors could cause substantial harm to our reputation, result in additional unplanned expenses to remedy any defects, delay the introduction of new products, result in the loss of existing or potential customers, or cause a loss in revenue. Further, such errors could subject us to customer claims for significant damages, and we cannot guarantee courts would enforce the provisions in our customer agreements limiting our damage liability. In turn, this could materially affect our business, results of operations, cash flow, and financial condition.</w:t>
      </w:r>
    </w:p>
    <w:p>
      <w:pPr>
        <w:spacing w:after="0" w:line="18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If our data protection or other security measures are compromised and, as a result, our data, our customers’ data or our IT systems are accessed improperly, made unavailable, or improperly modified, our products and services may be perceived as vulnerable, possibly damaging our brand and reputation, disrupting the IT services we provide to our customers, and causing our customers to stop using our products and services, all of which could reduce our revenue and earnings, increase our expenses and expose us to legal claims and regulatory actions.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services can store, retrieve, manipulate and manage our customers’ information and data as well as our own. We have a reputation for secure and reliable software products and services and invest time and resources into protecting the integrity and security of our products, services and internal and external data that we manage.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Nevertheless, we encounter attempts by third parties to penetrate or bypass our data protection and other security measures and gain unauthorized access to our networks, systems and data or compromise our customers’ confidential information or data. Unauthorized third parties also could improperly access or modify data as a result of employee or supplier error or malfeasance and third parties may attempt to fraudulently induce employees or customers into disclosing sensitive information such as user names, passwords or other information.</w:t>
      </w:r>
    </w:p>
    <w:p>
      <w:pPr>
        <w:spacing w:after="0" w:line="180"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These risks are persistent and likely will increase as we continue to grow our cloud offerings and services and store and process increasingly large amounts of our customers’ confidential information and data. We also may acquire companies, products, services and technologies and inherit such risks when we integrate these acquisitions within Manhattan.</w:t>
      </w:r>
    </w:p>
    <w:p>
      <w:pPr>
        <w:spacing w:after="0" w:line="176" w:lineRule="exact"/>
        <w:rPr>
          <w:sz w:val="20"/>
          <w:szCs w:val="20"/>
          <w:color w:val="auto"/>
        </w:rPr>
      </w:pPr>
    </w:p>
    <w:p>
      <w:pPr>
        <w:jc w:val="both"/>
        <w:ind w:right="660" w:firstLine="255"/>
        <w:spacing w:after="0" w:line="266" w:lineRule="auto"/>
        <w:rPr>
          <w:sz w:val="20"/>
          <w:szCs w:val="20"/>
          <w:color w:val="auto"/>
        </w:rPr>
      </w:pPr>
      <w:r>
        <w:rPr>
          <w:rFonts w:ascii="Times New Roman" w:cs="Times New Roman" w:eastAsia="Times New Roman" w:hAnsi="Times New Roman"/>
          <w:sz w:val="18"/>
          <w:szCs w:val="18"/>
          <w:color w:val="auto"/>
        </w:rPr>
        <w:t>If a cyber-attack or other security incident were to occur, we could suffer damage to our brand and reputation, which could reduce our revenue, earnings, and operating cash flow resulting from increased expenses, including potential legal claims and regulatory actions to address and fix the incidents.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policies, and other requirements relating to privacy and data security. Further, as regulatory focus on privacy issues continues to increase and become more complex, these potential risks to our business will intensify. Changes in laws or regulations associated with the enhanced protection of certain types of sensitive data could significantly increase our cost of providing our products and services.</w:t>
      </w:r>
    </w:p>
    <w:p>
      <w:pPr>
        <w:spacing w:after="0" w:line="176" w:lineRule="exact"/>
        <w:rPr>
          <w:sz w:val="20"/>
          <w:szCs w:val="20"/>
          <w:color w:val="auto"/>
        </w:rPr>
      </w:pPr>
    </w:p>
    <w:p>
      <w:pPr>
        <w:ind w:right="40" w:firstLine="255"/>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If we are unable to develop software applications that interoperate with computing platforms developed by others, our business, results of operations, cash flow, and financial condition may be adversely affected. </w:t>
      </w:r>
      <w:r>
        <w:rPr>
          <w:rFonts w:ascii="Times New Roman" w:cs="Times New Roman" w:eastAsia="Times New Roman" w:hAnsi="Times New Roman"/>
          <w:sz w:val="17"/>
          <w:szCs w:val="17"/>
          <w:color w:val="auto"/>
        </w:rPr>
        <w:t>We develop software applications that interoperate with operating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database platforms, and hardware devices developed by others, which we refer to collectively as computing platforms. If the developers of these computing platforms do not cooperate with us or we are unable to devote the necessary resources so that our applications interoperate with those computing platforms, our software development efforts may be delayed and our business and results of operations may be adversely affected. When new or updated versions of these computing platforms are introduced, it is often necessary for us to develop updated versions of our software applications so that they interoperate properly with these computing platforms. We may not accomplish these development efforts quickly or cost-effectively, and it is difficult to predict what the relative growth rates of adoption of these computing platforms will be. These development efforts require substantial investment, the devotion of substantial employee resources, and the cooperation of the developers of the computing platforms. For some computing platforms, we must obtain some proprietary application program interfaces from the owner in order to develop software applications that interoperate with the computing platforms. Computing platform providers have no obligation to assist in these development efforts. If they do not provide us with assistance or the necessary proprietary application program interfaces on a timely basis, we may experience delays or be unable to expand our software applications into other areas.</w:t>
      </w:r>
    </w:p>
    <w:p>
      <w:pPr>
        <w:spacing w:after="0" w:line="183"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computing platforms we use may not continue to be available to us on commercially reasonable terms. Any loss of the right to use any of these systems could result in delays in the provision of our products and services, and our results of operations may be adversely affected. Defects in computing platforms could result in errors or failure of our products, which could harm our business.</w:t>
      </w:r>
    </w:p>
    <w:p>
      <w:pPr>
        <w:spacing w:after="0" w:line="172"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incorporate third-party software in our solutions, the failure or unavailability of which could adversely affect our ability to sell, support, and service our products. </w:t>
      </w:r>
      <w:r>
        <w:rPr>
          <w:rFonts w:ascii="Times New Roman" w:cs="Times New Roman" w:eastAsia="Times New Roman" w:hAnsi="Times New Roman"/>
          <w:sz w:val="18"/>
          <w:szCs w:val="18"/>
          <w:color w:val="auto"/>
        </w:rPr>
        <w:t>We incorporate and include third-party software into and with certain of our products and solutions and expect to continue to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The operation of our products could be impaired if there are defects in that third-party software. It may be difficult for us to correct any defects in third-party software because the development and maintenance of the software is not within our control. Such defects could adversely affect our business.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addition, there can be no assurance that these third parties will continue to make their software available to us on acceptable terms, or at all; not make their products available to our competitors on more favorable terms; invest the appropriate levels of resources in their products and services to maintain and enhance the capabilities of their software; or remain in business. Any impairment in our relationship with these third parties or our ability to license or otherwise use their software could have a material adverse effect on our business, results of operations, cash flow, and financial condition.</w:t>
      </w:r>
    </w:p>
    <w:p>
      <w:pPr>
        <w:spacing w:after="0" w:line="176" w:lineRule="exact"/>
        <w:rPr>
          <w:sz w:val="20"/>
          <w:szCs w:val="20"/>
          <w:color w:val="auto"/>
        </w:rPr>
      </w:pPr>
    </w:p>
    <w:p>
      <w:pPr>
        <w:ind w:right="40" w:firstLine="300"/>
        <w:spacing w:after="0" w:line="254" w:lineRule="auto"/>
        <w:rPr>
          <w:sz w:val="20"/>
          <w:szCs w:val="20"/>
          <w:color w:val="auto"/>
        </w:rPr>
      </w:pPr>
      <w:r>
        <w:rPr>
          <w:rFonts w:ascii="Times New Roman" w:cs="Times New Roman" w:eastAsia="Times New Roman" w:hAnsi="Times New Roman"/>
          <w:sz w:val="18"/>
          <w:szCs w:val="18"/>
          <w:b w:val="1"/>
          <w:bCs w:val="1"/>
          <w:color w:val="auto"/>
        </w:rPr>
        <w:t>Liability for intellectual property claims can be costly and result in the loss of significant rights, which could adversely impact our business, results of operations, cash flow, and financial condition</w:t>
      </w:r>
      <w:r>
        <w:rPr>
          <w:rFonts w:ascii="Times New Roman" w:cs="Times New Roman" w:eastAsia="Times New Roman" w:hAnsi="Times New Roman"/>
          <w:sz w:val="18"/>
          <w:szCs w:val="18"/>
          <w:color w:val="auto"/>
        </w:rPr>
        <w:t>. It is possible that third parties will claim that we have infringed their current or future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or other intellectual property. We expect that supply chain software developers like us will increasingly be subject to infringement claims as the number of products grows. Any claims, with or without merit, could be time-consuming, result in costly litigation, cause product shipment delays, or require us to pay monetary damages or to enter into royalty or licensing agreements, any of which could negatively impact our operating results. There are no assurances that these royalty or licensing agreements, if required, would be available on terms acceptable to us, if at all. We also may be required to indemnify our customers for damages they suffer as a result of such infringement. There are no assurances that legal action claiming patent infringement will not be commenced against us, or that we would prevail in litigation given the complex technical issues and inherent uncertainties in patent litigation. If a patent claim against us were successful and we could not obtain a license on acceptable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terms or license a substitute technology or redesign the product or feature to avoid infringement, we may be prevented from distributing our software or required to incur significant expense and delay in developing non-infringing software. Any of these events could seriously harm our business, results of operations, cash flow, and financial condition.</w:t>
      </w:r>
    </w:p>
    <w:p>
      <w:pPr>
        <w:spacing w:after="0" w:line="17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b w:val="1"/>
          <w:bCs w:val="1"/>
          <w:color w:val="auto"/>
        </w:rPr>
        <w:t>Our failure to adequately protect our proprietary rights could adversely impact our business, results of operations, cash flow, and financial condition</w:t>
      </w:r>
      <w:r>
        <w:rPr>
          <w:rFonts w:ascii="Times New Roman" w:cs="Times New Roman" w:eastAsia="Times New Roman" w:hAnsi="Times New Roman"/>
          <w:sz w:val="18"/>
          <w:szCs w:val="18"/>
          <w:color w:val="auto"/>
        </w:rPr>
        <w:t>. Our success and ability to compete is dependent in part upon our proprietary technology. There are no assurances that we will be able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proprietary rights against unauthorized disclosure or third-party copying or use. We rely on a combination of copyright, patent, trademark, and trade secret laws, as well as confidentiality agreements, licensing arrangements, and contractual commitments to establish and protect our proprietary rights. Despite our efforts to protect our proprietary rights, existing copyright, patent, trademark, and trade secret laws afford only limited protection. In addition, the laws of certain foreign countries do not protect our rights to the same extent as do the laws of the United States. Attempts may be made to copy or reverse engineer aspects of our products or to obtain and use information that we regard as proprietary. Any infringement of our proprietary rights could negatively impact our future operating results. Furthermore, policing the unauthorized use of our products is difficult, and litigation may be necessary in the future to enforce our intellectual property rights, to protect our trade secrets, or to determine the validity and scope of the proprietary rights of others. Litigation could result in substantial costs and diversion of resources. In turn, our business, results of operations, cash flow, and financial condition could be materially adversely affected.</w:t>
      </w:r>
    </w:p>
    <w:p>
      <w:pPr>
        <w:spacing w:after="0" w:line="18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use of open source software in our products may expose us to additional risks and harm our intellectual property, which could adversely impact our business, results of operations, cash flow, and financial condition. </w:t>
      </w:r>
      <w:r>
        <w:rPr>
          <w:rFonts w:ascii="Times New Roman" w:cs="Times New Roman" w:eastAsia="Times New Roman" w:hAnsi="Times New Roman"/>
          <w:sz w:val="18"/>
          <w:szCs w:val="18"/>
          <w:color w:val="auto"/>
        </w:rPr>
        <w:t>Some of our products use or incorporate software that is subject to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w:t>
      </w:r>
    </w:p>
    <w:p>
      <w:pPr>
        <w:spacing w:after="0" w:line="18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 has incorporated open source software into software we license from them for use in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ind w:right="100" w:firstLine="255"/>
        <w:spacing w:after="0" w:line="275" w:lineRule="auto"/>
        <w:rPr>
          <w:sz w:val="20"/>
          <w:szCs w:val="20"/>
          <w:color w:val="auto"/>
        </w:rPr>
      </w:pPr>
      <w:r>
        <w:rPr>
          <w:rFonts w:ascii="Times New Roman" w:cs="Times New Roman" w:eastAsia="Times New Roman" w:hAnsi="Times New Roman"/>
          <w:sz w:val="17"/>
          <w:szCs w:val="17"/>
          <w:b w:val="1"/>
          <w:bCs w:val="1"/>
          <w:color w:val="auto"/>
        </w:rPr>
        <w:t>Adverse litigation results could affect our business</w:t>
      </w:r>
      <w:r>
        <w:rPr>
          <w:rFonts w:ascii="Times New Roman" w:cs="Times New Roman" w:eastAsia="Times New Roman" w:hAnsi="Times New Roman"/>
          <w:sz w:val="17"/>
          <w:szCs w:val="17"/>
          <w:color w:val="auto"/>
        </w:rPr>
        <w:t>. From time to time, we may be involved in litigation relating to claims arising in the ordinary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course of business, and occasionally legal proceeding not in the ordinary course. Litigation can be lengthy, expensive and disruptive to our operations, and can divert our management’s attention away from running our core business. The results of any litigation also cannot be predicted with certainty. In February and April 2025, two putative securities class action lawsuits were filed against us. Then, on September 22, 2025, a shareholder derivative lawsuit was filed against us. Additional information regarding these legal matters can be found in Note 5 to our Consolidated Financial Statements. We are unable to predict the ultimate timing or outcome of, or reasonably estimate the possible losses or a range of possible losses resulting from, these proceedings.</w:t>
      </w:r>
    </w:p>
    <w:p>
      <w:pPr>
        <w:spacing w:after="0" w:line="168"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b w:val="1"/>
          <w:bCs w:val="1"/>
          <w:color w:val="auto"/>
        </w:rPr>
        <w:t>We may have exposure to additional tax liabilities</w:t>
      </w:r>
      <w:r>
        <w:rPr>
          <w:rFonts w:ascii="Times New Roman" w:cs="Times New Roman" w:eastAsia="Times New Roman" w:hAnsi="Times New Roman"/>
          <w:sz w:val="18"/>
          <w:szCs w:val="18"/>
          <w:color w:val="auto"/>
        </w:rPr>
        <w:t>. As a multinational corporation, we are subject to income taxes in the U.S. and various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jurisdictions. Significant judgment is required in determining our global provision for income taxes and other tax liabilities. In the ordinary course of a global business, there are many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or tax disputes could have an adverse effect on our financial condition, results of operations and cash flows. Also, the earnings of our foreign subsidiaries are considered to be indefinitely reinvested. If our plans change in the future or if we elect to repatriate the unremitted earnings of our foreign subsidiaries in the form of dividends or otherwise, we could be subject to additional local withholding taxes which may result in a higher effective tax rate.</w:t>
      </w:r>
    </w:p>
    <w:p>
      <w:pPr>
        <w:spacing w:after="0" w:line="18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In addition, the United States and other governments adopt tax reform measures from time to time that impact future effective tax rates favorably or unfavorably. These tax reforms may be in the form of changes in tax rates, changes in the valuation of deferred tax assets or liabilities, or changes in tax laws or their interpretation. Such changes can have a material adverse impact on our financial results. In 2022, the United States enacted the Inflation Reduction Act, which includes a 1% excise tax on corporate stock repurchases. While we do not anticipate that changes in the tax laws or rates in that Act will have a material, direct impact on the Company, imposition of new excise taxes and minimum corporate tax rates such as these can have a material adverse impact on the Company in the future.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and goods and services taxes in the U.S. and various foreign jurisdictions. We are regularly under audit by tax authorities with respect to these non-income taxes and may have exposure to additional non-income tax liabilities, which could have an adverse effect on our results of operations, financial condition and cash flows.</w:t>
      </w:r>
    </w:p>
    <w:p>
      <w:pPr>
        <w:spacing w:after="0" w:line="172" w:lineRule="exact"/>
        <w:rPr>
          <w:sz w:val="20"/>
          <w:szCs w:val="20"/>
          <w:color w:val="auto"/>
        </w:rPr>
      </w:pPr>
    </w:p>
    <w:p>
      <w:pPr>
        <w:ind w:right="14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can be subject to criminal or civil liability if we fail to comply with anti-corruption and anti-boycott regulations, and that can adversely affect our business, financial condition, and results of operations. </w:t>
      </w:r>
      <w:r>
        <w:rPr>
          <w:rFonts w:ascii="Times New Roman" w:cs="Times New Roman" w:eastAsia="Times New Roman" w:hAnsi="Times New Roman"/>
          <w:sz w:val="18"/>
          <w:szCs w:val="18"/>
          <w:color w:val="auto"/>
        </w:rPr>
        <w:t>We are subject to the U.S. Foreign Corrupt Practices Act ("FCPA"), U.S. domestic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bribery laws, and foreign anti-corruption regulation as well as domestic and foreign anti-boycott regulation, which many governments have interpreted more broadly and enforced aggressively in recent years. Under certain circumstances, we can be held liable for the corrupt or other illegal activities of our employees, representatives, contractors, partners, and agents, even if our Company does not explicitly authorize those activities.</w:t>
      </w:r>
    </w:p>
    <w:p>
      <w:pPr>
        <w:spacing w:after="0" w:line="183"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While we have policies and procedures and conduct training that addresses compliance with anti-corruption and anti-boycott regulation, our employees and representatives may violate those regulations, we may be held responsible. Detecting, investigating, and resolving actual or alleged violations of those regulations can divert our management team’s time, resources, and attention. In addition, noncompliance with anti-corruption or anti-boycott regulation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w:t>
      </w:r>
    </w:p>
    <w:p>
      <w:pPr>
        <w:spacing w:after="0" w:line="183" w:lineRule="exact"/>
        <w:rPr>
          <w:sz w:val="20"/>
          <w:szCs w:val="20"/>
          <w:color w:val="auto"/>
        </w:rPr>
      </w:pPr>
    </w:p>
    <w:p>
      <w:pPr>
        <w:ind w:right="140" w:firstLine="255"/>
        <w:spacing w:after="0" w:line="286" w:lineRule="auto"/>
        <w:rPr>
          <w:sz w:val="20"/>
          <w:szCs w:val="20"/>
          <w:color w:val="auto"/>
        </w:rPr>
      </w:pPr>
      <w:r>
        <w:rPr>
          <w:rFonts w:ascii="Times New Roman" w:cs="Times New Roman" w:eastAsia="Times New Roman" w:hAnsi="Times New Roman"/>
          <w:sz w:val="18"/>
          <w:szCs w:val="18"/>
          <w:b w:val="1"/>
          <w:bCs w:val="1"/>
          <w:color w:val="auto"/>
        </w:rPr>
        <w:t>Other laws and regulations</w:t>
      </w:r>
      <w:r>
        <w:rPr>
          <w:rFonts w:ascii="Times New Roman" w:cs="Times New Roman" w:eastAsia="Times New Roman" w:hAnsi="Times New Roman"/>
          <w:sz w:val="18"/>
          <w:szCs w:val="18"/>
          <w:color w:val="auto"/>
        </w:rPr>
        <w:t>. We face risks related to other laws and regulations in areas discussed elsewhere in this “Risk Factors” section,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protection, export controls and immigration.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Operations</w:t>
      </w:r>
    </w:p>
    <w:p>
      <w:pPr>
        <w:spacing w:after="0" w:line="225"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b w:val="1"/>
          <w:bCs w:val="1"/>
          <w:color w:val="auto"/>
        </w:rPr>
        <w:t>Our international operations have many associated risks</w:t>
      </w:r>
      <w:r>
        <w:rPr>
          <w:rFonts w:ascii="Times New Roman" w:cs="Times New Roman" w:eastAsia="Times New Roman" w:hAnsi="Times New Roman"/>
          <w:sz w:val="18"/>
          <w:szCs w:val="18"/>
          <w:color w:val="auto"/>
        </w:rPr>
        <w:t>. We continue to strategically manage our presence in international markets, and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require significant management attention and financial resources. We may not be able to successfully penetrate international markets, or, if we do, there can be no assurance that we will grow our business in these markets at the same rate as in North America. International sales are subject to many risks and difficulties, including those arising from complying with a variety of foreign laws, import and export restrictions and tariffs, reduced protection for intellectual property rights in some countries, potential adverse tax treatment, less stringent adherence to ethical and legal standards by prospective customers in some countries, language and cultural barriers and political and economic instability. Because of these inherent complexities and challenges, lack of success in international markets could adversely affect our business, results of operations, cash flow, and financial condition.</w:t>
      </w:r>
    </w:p>
    <w:p>
      <w:pPr>
        <w:spacing w:after="0" w:line="183"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operating results may include foreign currency gains and losses. </w:t>
      </w:r>
      <w:r>
        <w:rPr>
          <w:rFonts w:ascii="Times New Roman" w:cs="Times New Roman" w:eastAsia="Times New Roman" w:hAnsi="Times New Roman"/>
          <w:sz w:val="18"/>
          <w:szCs w:val="18"/>
          <w:color w:val="auto"/>
        </w:rPr>
        <w:t>We conduct a portion of our business in currencies other than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dollar. Our revenues, expenses, operating profit and net income are affected when the dollar weakens or strengthens in relation to other currencies. In addition, we have a large development center in Bangalore, India, that does not have a natural in-market revenue hedge to mitigate currency risk to our operating expense in India. Fluctuations in the value of other currencies could materially impact our revenues, expenses, operating profit and net income.</w:t>
      </w:r>
    </w:p>
    <w:p>
      <w:pPr>
        <w:spacing w:after="0" w:line="176" w:lineRule="exact"/>
        <w:rPr>
          <w:sz w:val="20"/>
          <w:szCs w:val="20"/>
          <w:color w:val="auto"/>
        </w:rPr>
      </w:pPr>
    </w:p>
    <w:p>
      <w:pPr>
        <w:ind w:right="40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employee retention and hiring may be hindered by immigration restrictions, which could adversely impact our business, results of operations, cash flow, and financial condition. </w:t>
      </w:r>
      <w:r>
        <w:rPr>
          <w:rFonts w:ascii="Times New Roman" w:cs="Times New Roman" w:eastAsia="Times New Roman" w:hAnsi="Times New Roman"/>
          <w:sz w:val="18"/>
          <w:szCs w:val="18"/>
          <w:color w:val="auto"/>
        </w:rPr>
        <w:t>Foreign nationals who are not U.S. citizens or permanent residents constitute a significant part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U.S. workforce. Our ability to hire and retain these workers, and their ability to remain and work in the U.S. are impacted by laws and regulations as well as by processing procedures of various government agencies. Changes in laws, regulations, or procedures may adversely affect our ability to hire or retain such workers and may affect our costs of doing business and/or our ability to deliver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8"/>
          <w:szCs w:val="18"/>
          <w:b w:val="1"/>
          <w:bCs w:val="1"/>
          <w:color w:val="auto"/>
        </w:rPr>
        <w:t>Our stock price has been highly volatile</w:t>
      </w:r>
      <w:r>
        <w:rPr>
          <w:rFonts w:ascii="Times New Roman" w:cs="Times New Roman" w:eastAsia="Times New Roman" w:hAnsi="Times New Roman"/>
          <w:sz w:val="18"/>
          <w:szCs w:val="18"/>
          <w:color w:val="auto"/>
        </w:rPr>
        <w:t>. The trading price of our common stock could be subject to wide fluctuations in response to various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global macro-economic contraction impacting demand for supply chain solutions; quarterly variations in operating results; announcements of technological innovations or new products by us or our competitors; developments with respect to patents or proprietary rights; changes in financial estimates by securities analysts; and mergers, acquisitions, and combinations involving our competitors or us.</w:t>
      </w:r>
    </w:p>
    <w:p>
      <w:pPr>
        <w:spacing w:after="0" w:line="176"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Our operating results are difficult to predict and could cause our stock price to fall</w:t>
      </w:r>
      <w:r>
        <w:rPr>
          <w:rFonts w:ascii="Times New Roman" w:cs="Times New Roman" w:eastAsia="Times New Roman" w:hAnsi="Times New Roman"/>
          <w:sz w:val="18"/>
          <w:szCs w:val="18"/>
          <w:color w:val="auto"/>
        </w:rPr>
        <w:t>. Our quarterly revenue and operating results are difficult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and can fluctuate significantly from quarter to quarter. If our quarterly revenue or operating results fall below the expectations of investors or public market analysts, the price of our common stock could fall substantially. Our quarterly revenue is difficult to forecast for several reasons, including the following: global macro-economic disruptions; credit and equity market disruptions, which can significantly impact capital availability and spend timing of customers or potential customers; the varying sales cycle for our products and services from customer to customer, including multiple levels of authorization required by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180"/>
        <w:spacing w:after="0" w:line="266" w:lineRule="auto"/>
        <w:rPr>
          <w:sz w:val="20"/>
          <w:szCs w:val="20"/>
          <w:color w:val="auto"/>
        </w:rPr>
      </w:pPr>
      <w:r>
        <w:rPr>
          <w:rFonts w:ascii="Times New Roman" w:cs="Times New Roman" w:eastAsia="Times New Roman" w:hAnsi="Times New Roman"/>
          <w:sz w:val="18"/>
          <w:szCs w:val="18"/>
          <w:color w:val="auto"/>
        </w:rPr>
        <w:t>some customers; the varying demand for our products; customers’ budgeting and purchasing cycles; delays in our implementations at customer sites; timing of hiring new services employees and the rate at which these employees become productive; timing of introduction of new products; development and performance of our distribution channels; and timing of any acquisitions and related costs.</w:t>
      </w:r>
    </w:p>
    <w:p>
      <w:pPr>
        <w:spacing w:after="0" w:line="176"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Most of our expenses, including employee compensation and rent, are relatively fixed. In addition, our expense levels are based, in part, on our expectations regarding future revenue increases. As a result, any shortfall in revenue in relation to our expectations could cause significant changes in our operating results from quarter to quarter and could result in quarterly losses. As a result of these factors, we believe that period-to-period comparisons of our revenue levels and operating results are not necessarily meaningful. Historical growth rates and historical quarterly revenue and operating results may not be a good indicator of future operating results and reliance on historical results should not be used to predict our future performance.</w:t>
      </w:r>
    </w:p>
    <w:p>
      <w:pPr>
        <w:spacing w:after="0" w:line="179" w:lineRule="exact"/>
        <w:rPr>
          <w:sz w:val="20"/>
          <w:szCs w:val="20"/>
          <w:color w:val="auto"/>
        </w:rPr>
      </w:pPr>
    </w:p>
    <w:p>
      <w:pPr>
        <w:ind w:right="180" w:firstLine="255"/>
        <w:spacing w:after="0" w:line="259" w:lineRule="auto"/>
        <w:rPr>
          <w:sz w:val="20"/>
          <w:szCs w:val="20"/>
          <w:color w:val="auto"/>
        </w:rPr>
      </w:pPr>
      <w:r>
        <w:rPr>
          <w:rFonts w:ascii="Times New Roman" w:cs="Times New Roman" w:eastAsia="Times New Roman" w:hAnsi="Times New Roman"/>
          <w:sz w:val="18"/>
          <w:szCs w:val="18"/>
          <w:b w:val="1"/>
          <w:bCs w:val="1"/>
          <w:color w:val="auto"/>
        </w:rPr>
        <w:t>Our articles of incorporation and bylaws and Georgia law may inhibit a takeover of our company</w:t>
      </w:r>
      <w:r>
        <w:rPr>
          <w:rFonts w:ascii="Times New Roman" w:cs="Times New Roman" w:eastAsia="Times New Roman" w:hAnsi="Times New Roman"/>
          <w:sz w:val="18"/>
          <w:szCs w:val="18"/>
          <w:color w:val="auto"/>
        </w:rPr>
        <w:t>. Our corporate organizational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Georgia law contain provisions that might enable our management to resist a takeover of our company. These provisions might discourage, delay or prevent a change in control of our company or a change in our management. These provisions could also discourage proxy contests and make it more difficult for shareholders to elect their own director nominees and compel other corporate actions. The existence of these provisions could also limit the price that investors might be willing to pay for shares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 Factors</w:t>
      </w:r>
    </w:p>
    <w:p>
      <w:pPr>
        <w:spacing w:after="0" w:line="225" w:lineRule="exact"/>
        <w:rPr>
          <w:sz w:val="20"/>
          <w:szCs w:val="20"/>
          <w:color w:val="auto"/>
        </w:rPr>
      </w:pPr>
    </w:p>
    <w:p>
      <w:pPr>
        <w:ind w:right="80" w:firstLine="25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Economic, political and market conditions can adversely affect our business, results of operations, cash flow and financial condition, including our revenue growth and profitability, which in turn could adversely affect our stock price. </w:t>
      </w:r>
      <w:r>
        <w:rPr>
          <w:rFonts w:ascii="Times New Roman" w:cs="Times New Roman" w:eastAsia="Times New Roman" w:hAnsi="Times New Roman"/>
          <w:sz w:val="18"/>
          <w:szCs w:val="18"/>
          <w:color w:val="auto"/>
        </w:rPr>
        <w:t>Our business is influenced by a range of factors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our control and that we have no comparative advantage in forecasting. These include:</w:t>
      </w:r>
    </w:p>
    <w:p>
      <w:pPr>
        <w:spacing w:after="0" w:line="67" w:lineRule="exact"/>
        <w:rPr>
          <w:sz w:val="20"/>
          <w:szCs w:val="20"/>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inflation rates, trends and fluctuations of each, and efforts to control them;</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credit market fluctuations and bank failures;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enterprise software and services;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policy, budgetary constraints, potential U.S. federal government shutdowns or shifts in government spending priorities;</w:t>
      </w:r>
    </w:p>
    <w:p>
      <w:pPr>
        <w:spacing w:after="0" w:line="117" w:lineRule="exact"/>
        <w:rPr>
          <w:rFonts w:ascii="Times New Roman" w:cs="Times New Roman" w:eastAsia="Times New Roman" w:hAnsi="Times New Roman"/>
          <w:sz w:val="18"/>
          <w:szCs w:val="18"/>
          <w:color w:val="auto"/>
        </w:rPr>
      </w:pPr>
    </w:p>
    <w:p>
      <w:pPr>
        <w:ind w:left="520" w:right="60" w:hanging="257"/>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developments, including political instability, economic sanctions, terrorist activities or international conflicts, such as the wars in Ukraine and the Middle East;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22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Macroeconomic developments in the United States and Europe and in parts of Asia and South America could negatively affect our business, operating results, financial condition, and outlook, which, in turn, could adversely affect our stock price. Any general weakening of, and related declining corporate confidence in, the global economy or the curtailment in government or corporate spending could cause current or potential customers to reduce or eliminate their information technology budgets and spending, which could cause customers to delay, decrease or cancel purchases of our products and services; or cause customers not to pay us; or to delay paying us for previously purchased products and services.</w:t>
      </w:r>
    </w:p>
    <w:p>
      <w:pPr>
        <w:spacing w:after="0" w:line="183"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In addition, political unrest and the related potential impact on global stability, acts of war or terrorism and the potential for other hostilities in various parts of the world, as well as potential public health crises and natural disasters continue to contribute to a climate of economic and political uncertainty that could adversely affect our results of operations and financial condition, including our revenue growth and profitability.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20" w:firstLine="28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Changes in, or interpretation of, accounting principles could result in unfavorable accounting changes. </w:t>
      </w:r>
      <w:r>
        <w:rPr>
          <w:rFonts w:ascii="Times New Roman" w:cs="Times New Roman" w:eastAsia="Times New Roman" w:hAnsi="Times New Roman"/>
          <w:sz w:val="18"/>
          <w:szCs w:val="18"/>
          <w:color w:val="auto"/>
        </w:rPr>
        <w:t>Our Consolidated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prepared in conformity with U.S. generally accepted accounting principles (GAAP) and accompanying accounting pronouncements, implementation guidelines, and interpretations. These rules are subject to interpretation by the SEC and various bodies formed to interpret and create appropriate accounting principles. Changes in these rules or their interpretation could significantly change our reported results and may even retroactively affect previously reported transactions. Changes resulting from these new accounting standards or the adoption of other new or revised accounting principles may result in materially different financial results and may require that we make changes to our systems, processes, and controls. In addition, as we work to align with the guidelines of the Financial Stability Board’s Task Force on Climate-Related Financial Disclosures (“TCFD”) and the Sustainability Accounting Standards Board (“SASB”) environmental metrics, we may continue to expand our disclosure in these areas. Our failure to report accurately or achieve progress on our metrics timely could adversely affect our reputation, financial performance and business growth.</w:t>
      </w:r>
    </w:p>
    <w:p>
      <w:pPr>
        <w:spacing w:after="0" w:line="188"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effects of a disease outbreak, pandemic, or other major public health crisis could materially adversely affect our business, results of operations and financial condition. </w:t>
      </w:r>
      <w:r>
        <w:rPr>
          <w:rFonts w:ascii="Times New Roman" w:cs="Times New Roman" w:eastAsia="Times New Roman" w:hAnsi="Times New Roman"/>
          <w:sz w:val="18"/>
          <w:szCs w:val="18"/>
          <w:color w:val="auto"/>
        </w:rPr>
        <w:t>For example, in March 2020, the World Health Organization declared the outbreak of the COVID-19 pandemic.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 spread throughout the world, prompting governmental and private authorities to implement measures to contain the pandemic, including travel bans and restrictions, quarantines, shelter-in-place orders, and business limitations and shutdowns. A future disease outbreak, pandemic, or other public health crisis, and related remedial measures, could adversely impact our results from operations, financial condition, liquidity and cash flows in numerous ways, including but not limited to:</w:t>
      </w:r>
    </w:p>
    <w:p>
      <w:pPr>
        <w:spacing w:after="0" w:line="78" w:lineRule="exact"/>
        <w:rPr>
          <w:sz w:val="20"/>
          <w:szCs w:val="20"/>
          <w:color w:val="auto"/>
        </w:rPr>
      </w:pPr>
    </w:p>
    <w:p>
      <w:pPr>
        <w:ind w:left="1020" w:right="3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crisis could reduce the availability or productivity of our workforce impacting our day-to-day operations and ability to meet our customer obligations;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for our products could decline or they may request extended payment terms for products purchased due to their need to reduce their information technology expense or preserve cash, or as a result of reductions in their sales and profits;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could file for bankruptcy;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store closures could accelerate pre-existing disruption in the retail sector;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spending habits of our customers’ customers could change, reducing our customers’ own revenues and profitability, which in turn could affect our revenues and profitability.</w:t>
      </w:r>
    </w:p>
    <w:p>
      <w:pPr>
        <w:spacing w:after="0" w:line="162" w:lineRule="exact"/>
        <w:rPr>
          <w:sz w:val="20"/>
          <w:szCs w:val="20"/>
          <w:color w:val="auto"/>
        </w:rPr>
      </w:pPr>
    </w:p>
    <w:p>
      <w:pPr>
        <w:jc w:val="both"/>
        <w:ind w:right="400" w:firstLine="255"/>
        <w:spacing w:after="0" w:line="282" w:lineRule="auto"/>
        <w:rPr>
          <w:sz w:val="20"/>
          <w:szCs w:val="20"/>
          <w:color w:val="auto"/>
        </w:rPr>
      </w:pPr>
      <w:r>
        <w:rPr>
          <w:rFonts w:ascii="Times New Roman" w:cs="Times New Roman" w:eastAsia="Times New Roman" w:hAnsi="Times New Roman"/>
          <w:sz w:val="18"/>
          <w:szCs w:val="18"/>
          <w:color w:val="auto"/>
        </w:rPr>
        <w:t>A decrease in revenues could also negatively affect our liquidity, as we primarily rely on cash generated from operating activities for our liquidity needs. Compounding this issue, a disease outbreak, pandemic, or other public health crisis may make outside capital less available or more expensive.</w:t>
      </w:r>
    </w:p>
    <w:p>
      <w:pPr>
        <w:spacing w:after="0" w:line="158"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Fires or other catastrophic events at our principal facilities could disrupt our business. </w:t>
      </w:r>
      <w:r>
        <w:rPr>
          <w:rFonts w:ascii="Times New Roman" w:cs="Times New Roman" w:eastAsia="Times New Roman" w:hAnsi="Times New Roman"/>
          <w:sz w:val="18"/>
          <w:szCs w:val="18"/>
          <w:color w:val="auto"/>
        </w:rPr>
        <w:t>Fires, natural disasters, weather events, political or civil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unrest, terrorist acts, disruptions in critical infrastructure or other catastrophic events, particularly those affecting our Atlanta headquarters or India research and development center, may cause damage or disruption to our operations, and thus could have a strong negative effect on us. Our business operations are subject to interruption by natural disasters, weather events, political unrest, fire, power shortages and other disruptions of critical infrastructure, health crises or pandemics and other events beyond our control. Although we maintain crisis management and disaster response plans, such events could make it difficult or impossible for us to deliver our services to our customers.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We believe Manhattan has appropriate processes for assessing, identifying, and managing material risks from cybersecurity threats. Those processes are embodied in our enterprise-wide Cyber Risk Management Program (the “Cyber Program”), which includes our cybersecurity governance structure and our cybersecurity strategy and processes.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Structure</w:t>
      </w:r>
    </w:p>
    <w:p>
      <w:pPr>
        <w:spacing w:after="0" w:line="227"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Board Oversight</w:t>
      </w:r>
      <w:r>
        <w:rPr>
          <w:rFonts w:ascii="Times New Roman" w:cs="Times New Roman" w:eastAsia="Times New Roman" w:hAnsi="Times New Roman"/>
          <w:sz w:val="18"/>
          <w:szCs w:val="18"/>
          <w:color w:val="auto"/>
        </w:rPr>
        <w:t>. Our Board of Directors has delegated oversight of our Cyber Program to the Board Audit Committee. Despite that delegation,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also remains informed, through quarterly presentations to the full Board by our Chief Financial Officer or their designee (or more frequently as necessary), followed by the opportunity for Q&amp;A and discussion, on the status of the Cyber Program. The presentations cover, among other things, our cyber incident experience, ongoing cyber threats, material risks, deployment of cybersecurity controls and risk mitigants, engagement of third parties (e.g., consultants and auditors) and third-party tools, our cyber insurance coverages, and our employee-training programs. If further Board engagement on cybersecurity matters is required, management, through the CEO, CFO or CLO, communicate directly with the Audit Committee chair, who engages the Audit Committee as they deem appropriate.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Management’s Assessment and Management of Cybersecurity Threats</w:t>
      </w:r>
      <w:r>
        <w:rPr>
          <w:rFonts w:ascii="Times New Roman" w:cs="Times New Roman" w:eastAsia="Times New Roman" w:hAnsi="Times New Roman"/>
          <w:sz w:val="18"/>
          <w:szCs w:val="18"/>
          <w:color w:val="auto"/>
        </w:rPr>
        <w:t>. Members of Manhattan’s executive management team, along with others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senior management, and others with varying areas of expertise, are engaged as part of our Cyber Program:</w:t>
      </w:r>
    </w:p>
    <w:p>
      <w:pPr>
        <w:spacing w:after="0" w:line="99" w:lineRule="exact"/>
        <w:rPr>
          <w:sz w:val="20"/>
          <w:szCs w:val="20"/>
          <w:color w:val="auto"/>
        </w:rPr>
      </w:pPr>
    </w:p>
    <w:p>
      <w:pPr>
        <w:ind w:left="1020" w:right="60" w:hanging="503"/>
        <w:spacing w:after="0" w:line="25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 and Chief Information Officer – Direct management of our Cyber Program falls within our Information Technology department, which reports up through our CIO, who reports to our CFO. Both our CIO and CFO have familiarity and oversight experience, appropriate for their positions, regarding general cybersecurity matters and threats affecting business-to-business software and cloud services vendors such as Manhattan. The CFO is a member of our Disclosure Committee, which is responsible for determining whether a cybersecurity incident is “material” for purposes of publicly reporting cybersecurity incidents, and is a member of our “Core Response Team” under the Company’s Crisis Response Program. Our CFO also chairs our management Cybersecurity Committee.</w:t>
      </w:r>
    </w:p>
    <w:p>
      <w:pPr>
        <w:spacing w:after="0" w:line="79"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Legal Officer – Our CLO has experience providing legal advice regarding cybersecurity-related programs as well as engaging with outside advisors and insurance brokers and underwriters on cybersecurity coverage, claims, and loss mitigation. Our CLO also is member of the Disclosure Committee and the Core Response Team.</w:t>
      </w:r>
    </w:p>
    <w:p>
      <w:pPr>
        <w:spacing w:after="0" w:line="6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Director, Global Security – Our Senior Director, Global Security, has managed our Cyber Program for eight years. He manages its day-to-day operations, oversees our security analysts and engineers, and leads our Cybersecurity Committee meetings. He is trained in cybersecurity strategy, planning, and execution and holds industry recognized security certifications, including Certified Information Systems Security Professional (CISSP) from the </w:t>
      </w:r>
      <w:r>
        <w:rPr>
          <w:rFonts w:ascii="Times New Roman" w:cs="Times New Roman" w:eastAsia="Times New Roman" w:hAnsi="Times New Roman"/>
          <w:sz w:val="18"/>
          <w:szCs w:val="18"/>
          <w:color w:val="202122"/>
        </w:rPr>
        <w:t>International In</w:t>
      </w:r>
      <w:r>
        <w:rPr>
          <w:rFonts w:ascii="Times New Roman" w:cs="Times New Roman" w:eastAsia="Times New Roman" w:hAnsi="Times New Roman"/>
          <w:sz w:val="18"/>
          <w:szCs w:val="18"/>
          <w:color w:val="auto"/>
        </w:rPr>
        <w:t>formation System Security Certification Consortium (ISC2) and Certified Information Security Manager (CISM) from the Information Systems Audit and Control Association (ISACA).</w:t>
      </w:r>
    </w:p>
    <w:p>
      <w:pPr>
        <w:spacing w:after="0" w:line="75"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Committee – Members include, in addition to the CFO and SD, Global Security, business representatives of Manhattan’s material business lines and administrative departments, cyber-risk operational heads from our material business lines, and our VP, Contracts and Administration (or their designee). The Cybersecurity Committee’s purpose is to review cybersecurity risks, discuss emerging threats, prioritize cybersecurity efforts, and make recommendations to leadership.</w:t>
      </w:r>
    </w:p>
    <w:p>
      <w:pPr>
        <w:spacing w:after="0" w:line="71"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Crisis Response Team – Pursuant to our Crisis Response Program, our Crisis Response Team, which comprises the CLO, CFO, Chief People Officer and Chief Marketing Officer, and an expanded team from our material business lines and administrative departments, as well as outside advisors/experts (cyber forensics, external legal counsel, law enforcement, public relations), is charged with managing the Company through a cybersecurity incident (or other event or series of events) that rise to the level of a Company “crisis.” The Program includes protocols by which the CLO, on behalf of the Team, will report to or engage the CEO and the Chairman of the Board if and when an incident becomes a crisis or potential crisis.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Roles – The Cyber Program includes engagement of other Company management employees and outside service providers to oversee or perform specific roles in connection with cybersecurity risk assessment and management, and incident management. That includes risk and security heads from our material business lines who implement and administer policies specific to those business lines and independent auditors to certify compliance with the Company’s internal control over financial reporting, the American Institute of Certified Public Accountants’ Systems and Organization Controls (SOC 2) security framework, and the Federal Government’s Federal Risk and Authorization and Management Program (FedRAMP) criteria for federal use of cloud services. We also conduct reviews for compliance with data protection regulation such as Europe’s General Data Protection Regulation (GDPR) and regulation of various U.S. states such as the California Consumer Privacy Act (CCPA).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 of Processes for Assessing, Identifying, and Managing Material Cyber Risks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The principal objectives of our Cyber Program are to minimize the risks associated with cybersecurity threats to our business operations, financial performance and financial condition, and protect the confidential information, intellectual property, and other assets of Manhattan, and those of our customers, vendors, partners, employees, and consumers that can be at risk due to cybersecurity threats to Manhattan.</w:t>
      </w:r>
    </w:p>
    <w:p>
      <w:pPr>
        <w:spacing w:after="0" w:line="176" w:lineRule="exact"/>
        <w:rPr>
          <w:sz w:val="20"/>
          <w:szCs w:val="20"/>
          <w:color w:val="auto"/>
        </w:rPr>
      </w:pPr>
    </w:p>
    <w:p>
      <w:pPr>
        <w:ind w:right="200" w:firstLine="255"/>
        <w:spacing w:after="0" w:line="255" w:lineRule="auto"/>
        <w:rPr>
          <w:sz w:val="20"/>
          <w:szCs w:val="20"/>
          <w:color w:val="auto"/>
        </w:rPr>
      </w:pPr>
      <w:r>
        <w:rPr>
          <w:rFonts w:ascii="Times New Roman" w:cs="Times New Roman" w:eastAsia="Times New Roman" w:hAnsi="Times New Roman"/>
          <w:sz w:val="18"/>
          <w:szCs w:val="18"/>
          <w:color w:val="auto"/>
        </w:rPr>
        <w:t>Manhattan has incorporated industry recognized cybersecurity frameworks and standards into its Cyber Program, including frameworks from the National Institute of Standards and Technology (NIST) and security control auditing protocols from the Center for Internet Security (CIS) and the International Organizations for Standardization (ISO). Recognizing that the nature of cybersecurity threats and the particular threat vectors we face continually change, we continue to invest in updating and enhancing our Cyber Program. Annually, as part of Manhattan’s budgeting process, our Senior Director, Global Security, submits to our CIO their recommendations for Cyber Program enhancements, including the associated capital requests, for inclusion in the CIO’s proposed IT budget. Those recommendations are then evaluated at the executive level, taking into account the projected return on investment and the anticipated enhancement of our cybersecurity risk profile.</w:t>
      </w:r>
    </w:p>
    <w:p>
      <w:pPr>
        <w:spacing w:after="0" w:line="189"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Under our Cyber Program, our Senior Director, Global Security, and the staff, along with our management-led Cybersecurity Committee, with input where appropriate from our third-party advisors, work to identify our cybersecurity threats, assess the risks, and deploy appropriate technologies and processes to mitigate the risks. When cybersecurity incidents occur, these resources work to manage through the incident utilizing advanced security tools and playbooks, and in accordance with processes set out in various Company policies and practice documents, which include internal communications protocols to keep the executive team and, where appropriate, the Audit Committee and Board, informed. Pertinent policy and practice documents include, among others, Manhattan’s Incident Response Policy, our Incident Escalation Matrix, our Materiality Determination Process for Cybersecurity Incidents (governing the Company’s materiality determination for reporting purposes) and our Crisis Response Plan.</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As an important cybersecurity risk mitigant, Manhattan provides mandatory training to its new hires and quarterly training of its employees, including phishing simulation tests and follow-up tests as needed, along with monthly cybersecurity newsletters and other cyber risk-related communications.</w:t>
      </w:r>
    </w:p>
    <w:p>
      <w:pPr>
        <w:spacing w:after="0" w:line="16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Integration into Overall Risk Management System or Processes</w:t>
      </w:r>
      <w:r>
        <w:rPr>
          <w:rFonts w:ascii="Times New Roman" w:cs="Times New Roman" w:eastAsia="Times New Roman" w:hAnsi="Times New Roman"/>
          <w:sz w:val="18"/>
          <w:szCs w:val="18"/>
          <w:color w:val="auto"/>
        </w:rPr>
        <w:t>. Our risk management systems and processes comprise numerous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published policies and procedures, risk detection systems, tools, and protocols (automated and human), internal and external independent auditing, management committee review, defined lines of communications, employee training, engagement of outside advisors and experts, assessment and utilization of both commercial and self-insurance opportunities, customer contract standardization where possible, legal review of vendor engagements and new products for regulatory compliance, regular operations reviews with the CEO, and Board (and Board Committee) oversight. Manhattan utilizes the foregoing systems and processes to best ensure effective management of our risks and associated cybersecurity threats. The SD, Global Security, or their designee, reports to the full Board at least quarterly on the status of our Cyber Program.</w:t>
      </w:r>
    </w:p>
    <w:p>
      <w:pPr>
        <w:spacing w:after="0" w:line="183" w:lineRule="exact"/>
        <w:rPr>
          <w:sz w:val="20"/>
          <w:szCs w:val="20"/>
          <w:color w:val="auto"/>
        </w:rPr>
      </w:pPr>
    </w:p>
    <w:p>
      <w:pPr>
        <w:ind w:right="240" w:firstLine="255"/>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Engagement of Third Parties</w:t>
      </w:r>
      <w:r>
        <w:rPr>
          <w:rFonts w:ascii="Times New Roman" w:cs="Times New Roman" w:eastAsia="Times New Roman" w:hAnsi="Times New Roman"/>
          <w:sz w:val="18"/>
          <w:szCs w:val="18"/>
          <w:color w:val="auto"/>
        </w:rPr>
        <w:t>. As part of its Cyber Program, Manhattan engages outside independent auditors, consultants, and professional advisors.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engage industry-leading cybersecurity service and systems providers to assist with protection from and detection of cybersecurity threats and incidents and our responses to them.</w:t>
      </w:r>
    </w:p>
    <w:p>
      <w:pPr>
        <w:spacing w:after="0" w:line="173" w:lineRule="exact"/>
        <w:rPr>
          <w:sz w:val="20"/>
          <w:szCs w:val="20"/>
          <w:color w:val="auto"/>
        </w:rPr>
      </w:pPr>
    </w:p>
    <w:p>
      <w:pPr>
        <w:ind w:right="80" w:firstLine="255"/>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Risks from Third Party Service Providers and Others</w:t>
      </w:r>
      <w:r>
        <w:rPr>
          <w:rFonts w:ascii="Times New Roman" w:cs="Times New Roman" w:eastAsia="Times New Roman" w:hAnsi="Times New Roman"/>
          <w:sz w:val="18"/>
          <w:szCs w:val="18"/>
          <w:color w:val="auto"/>
        </w:rPr>
        <w:t>. Manhattan’s cybersecurity team, under the oversight of the Senior Director, Global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performs risk assessments on third party service providers and other third parties (such as partner companies), as well as third party software and hardware utilized in its operations, that may have the potential to create cybersecurity threats to our data and operations.</w:t>
      </w:r>
    </w:p>
    <w:p>
      <w:pPr>
        <w:spacing w:after="0" w:line="173" w:lineRule="exact"/>
        <w:rPr>
          <w:sz w:val="20"/>
          <w:szCs w:val="20"/>
          <w:color w:val="auto"/>
        </w:rPr>
      </w:pPr>
    </w:p>
    <w:p>
      <w:pPr>
        <w:ind w:firstLine="255"/>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Risks from Cybersecurity Threats—Likely Material Impact</w:t>
      </w:r>
      <w:r>
        <w:rPr>
          <w:rFonts w:ascii="Times New Roman" w:cs="Times New Roman" w:eastAsia="Times New Roman" w:hAnsi="Times New Roman"/>
          <w:sz w:val="18"/>
          <w:szCs w:val="18"/>
          <w:color w:val="auto"/>
        </w:rPr>
        <w:t>. See Item 1A, "Risk Factors—Risks Related to Our Intellectual Property and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the information that we have as of the end of the year covered by this report, we do not believe that we have experienced any material cybersecurity incidents.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Our principal administrative, sales, marketing, support, and research and development facility is located in approximately 209,000 square feet of modern office space in Atlanta, Georgia. We have an additional office in the United States under a short-term agreement in New Jersey.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firstLine="255"/>
        <w:spacing w:after="0" w:line="266" w:lineRule="auto"/>
        <w:rPr>
          <w:sz w:val="20"/>
          <w:szCs w:val="20"/>
          <w:color w:val="auto"/>
        </w:rPr>
      </w:pPr>
      <w:r>
        <w:rPr>
          <w:rFonts w:ascii="Times New Roman" w:cs="Times New Roman" w:eastAsia="Times New Roman" w:hAnsi="Times New Roman"/>
          <w:sz w:val="18"/>
          <w:szCs w:val="18"/>
          <w:color w:val="auto"/>
        </w:rPr>
        <w:t>We also occupy facilities outside of the United States under multi-year lease agreements in the United Kingdom, the Netherlands, France, China, Japan, Spain, Singapore, India, Australia, and Germany. We also occupy offices under a short-term lease agreement in Chile and Italy. We believe our office space is adequate to meet our immediate needs; however, we may expand into additional facilities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 and occasionally legal proceedings not in the ordinary course.</w:t>
      </w:r>
    </w:p>
    <w:p>
      <w:pPr>
        <w:spacing w:after="0" w:line="5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Many of our installations involve products that are critical to the operations of our clients’ businesses. Any failure in one of our products could result in a claim for substantial damages against us, regardless of our responsibility for such failure. Although we attempt to limit contractually our liability for damages arising from product failures or negligent acts or omissions, there can be no assurance that the limitations of liability set forth in our contracts will be enforceable in all instances.</w:t>
      </w:r>
    </w:p>
    <w:p>
      <w:pPr>
        <w:spacing w:after="0" w:line="72"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Although litigation and other legal proceeding outcomes are inherently difficult to predict, we do not currently believe we are a party to any legal proceeding the result of which is likely to have a material adverse impact on our business, financial position, results of operations, or cash flows. Descriptions of a lawsuit to which we are currently a party is included in Note 5 to the consolidated financial statements in Part I, Item 8 of this annual report on Form 10-K,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“MANH”. The number of registered shareholders of record of our common stock as of January 30, 2026 was 13. The number of record holders does not include persons who held our common stock in nominee or “street name” accounts through brokers.</w:t>
      </w:r>
    </w:p>
    <w:p>
      <w:pPr>
        <w:spacing w:after="0" w:line="176"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We do not intend to declare or pay cash dividends in the foreseeable future. Our management anticipates that all earnings and other cash resources, if any, will be retained for investment in our business, including share repurchases.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right="80" w:firstLine="255"/>
        <w:spacing w:after="0" w:line="261"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incorporated by reference into any of our other filings under the Securities Act of 1933, (the “Securities Act”) or the Exchange Act except to the extent we specifically incorporate it by reference into such filing.</w:t>
      </w:r>
    </w:p>
    <w:p>
      <w:pPr>
        <w:spacing w:after="0" w:line="180"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The following graph compares Manhattan's annual percentage change in cumulative total return on common shares over the past five years with the cumulative total return of companies comprising the NASDAQ Composite Index and the NASDAQ Computer Index. This presentation assumes that $100 was invested in shares of the relevant issuers on December 31, 2020, and that dividends received were immediately invested in additional shares. No cash dividends have been declared on shares of Manhattan common stock. The graph plots the value of the initial $100 investment at one-year intervals for the fiscal years shown. The data for the graph was provided to us by Zacks Investment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128270</wp:posOffset>
            </wp:positionV>
            <wp:extent cx="4928870" cy="2606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887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 performance Graph Data Points for fiscal year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41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Manhattan Associates, Inc.</w:t>
            </w: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256.83</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120" w:type="dxa"/>
            <w:vAlign w:val="bottom"/>
            <w:shd w:val="clear" w:color="auto" w:fill="CCFFCC"/>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20" w:type="dxa"/>
            <w:vAlign w:val="bottom"/>
          </w:tcPr>
          <w:p>
            <w:pPr>
              <w:spacing w:after="0"/>
              <w:rPr>
                <w:sz w:val="18"/>
                <w:szCs w:val="18"/>
                <w:color w:val="auto"/>
              </w:rPr>
            </w:pPr>
          </w:p>
        </w:tc>
      </w:tr>
      <w:tr>
        <w:trPr>
          <w:trHeight w:val="216"/>
        </w:trPr>
        <w:tc>
          <w:tcPr>
            <w:tcW w:w="41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NASDAQ Computer Index</w:t>
            </w: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258.44</w:t>
            </w:r>
          </w:p>
        </w:tc>
        <w:tc>
          <w:tcPr>
            <w:tcW w:w="120" w:type="dxa"/>
            <w:vAlign w:val="bottom"/>
            <w:shd w:val="clear" w:color="auto" w:fill="CCFFCC"/>
          </w:tcPr>
          <w:p>
            <w:pPr>
              <w:spacing w:after="0"/>
              <w:rPr>
                <w:sz w:val="18"/>
                <w:szCs w:val="18"/>
                <w:color w:val="auto"/>
              </w:rPr>
            </w:pPr>
          </w:p>
        </w:tc>
      </w:tr>
      <w:tr>
        <w:trPr>
          <w:trHeight w:val="540"/>
        </w:trPr>
        <w:tc>
          <w:tcPr>
            <w:tcW w:w="3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following table, we provide information regarding our current equity compensation plans as of December 31, 2025:</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 available for future</w:t>
            </w:r>
          </w:p>
        </w:tc>
        <w:tc>
          <w:tcPr>
            <w:tcW w:w="0" w:type="dxa"/>
            <w:vAlign w:val="bottom"/>
          </w:tcPr>
          <w:p>
            <w:pPr>
              <w:spacing w:after="0"/>
              <w:rPr>
                <w:sz w:val="1"/>
                <w:szCs w:val="1"/>
                <w:color w:val="auto"/>
              </w:rPr>
            </w:pPr>
          </w:p>
        </w:tc>
      </w:tr>
      <w:tr>
        <w:trPr>
          <w:trHeight w:val="211"/>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 issued upon exercise of</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issuance under equity</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1"/>
                <w:szCs w:val="21"/>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rights</w:t>
            </w: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outstanding rights</w:t>
            </w:r>
            <w:r>
              <w:rPr>
                <w:rFonts w:ascii="Arial" w:cs="Arial" w:eastAsia="Arial" w:hAnsi="Arial"/>
                <w:sz w:val="21"/>
                <w:szCs w:val="21"/>
                <w:b w:val="1"/>
                <w:bCs w:val="1"/>
                <w:color w:val="auto"/>
                <w:vertAlign w:val="superscript"/>
              </w:rPr>
              <w:t>(1)</w:t>
            </w:r>
          </w:p>
        </w:tc>
        <w:tc>
          <w:tcPr>
            <w:tcW w:w="2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191"/>
        </w:trPr>
        <w:tc>
          <w:tcPr>
            <w:tcW w:w="3240" w:type="dxa"/>
            <w:vAlign w:val="bottom"/>
            <w:tcBorders>
              <w:top w:val="single" w:sz="8" w:color="auto"/>
            </w:tcBorders>
            <w:shd w:val="clear" w:color="auto" w:fill="CCFFCC"/>
          </w:tcPr>
          <w:p>
            <w:pPr>
              <w:ind w:left="60"/>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120" w:type="dxa"/>
            <w:vAlign w:val="bottom"/>
            <w:shd w:val="clear" w:color="auto" w:fill="CCFFCC"/>
          </w:tcPr>
          <w:p>
            <w:pPr>
              <w:spacing w:after="0"/>
              <w:rPr>
                <w:sz w:val="16"/>
                <w:szCs w:val="16"/>
                <w:color w:val="auto"/>
              </w:rPr>
            </w:pPr>
          </w:p>
        </w:tc>
        <w:tc>
          <w:tcPr>
            <w:tcW w:w="21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0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360" w:type="dxa"/>
            <w:vAlign w:val="bottom"/>
            <w:tcBorders>
              <w:top w:val="single" w:sz="8" w:color="auto"/>
            </w:tcBorders>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3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1,396,941</w:t>
            </w:r>
          </w:p>
        </w:tc>
        <w:tc>
          <w:tcPr>
            <w:tcW w:w="2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1,763,469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120" w:type="dxa"/>
            <w:vAlign w:val="bottom"/>
            <w:vMerge w:val="restart"/>
          </w:tcPr>
          <w:p>
            <w:pPr>
              <w:spacing w:after="0"/>
              <w:rPr>
                <w:sz w:val="17"/>
                <w:szCs w:val="17"/>
                <w:color w:val="auto"/>
              </w:rPr>
            </w:pPr>
          </w:p>
        </w:tc>
        <w:tc>
          <w:tcPr>
            <w:tcW w:w="2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approved by security holders</w:t>
            </w:r>
          </w:p>
        </w:tc>
        <w:tc>
          <w:tcPr>
            <w:tcW w:w="120" w:type="dxa"/>
            <w:vAlign w:val="bottom"/>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FFCC"/>
          </w:tcPr>
          <w:p>
            <w:pPr>
              <w:spacing w:after="0"/>
              <w:rPr>
                <w:sz w:val="19"/>
                <w:szCs w:val="19"/>
                <w:color w:val="auto"/>
              </w:rPr>
            </w:pPr>
          </w:p>
        </w:tc>
        <w:tc>
          <w:tcPr>
            <w:tcW w:w="2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1,396,941</w:t>
            </w:r>
          </w:p>
        </w:tc>
        <w:tc>
          <w:tcPr>
            <w:tcW w:w="21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1,763,469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3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does not take into account outstanding restricted stock unit awards, which have no exercise price.</w:t>
      </w:r>
    </w:p>
    <w:p>
      <w:pPr>
        <w:spacing w:after="0" w:line="225"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find additional information regarding our equity compensation plans in Note 2 of the Notes to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In the following table, we provide information regarding our common stock repurchases under our publicly-announced share repurchase program for the quarter ended December 31, 2025.</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Value) of Shares that</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May Yet Be Purchased</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0" w:type="dxa"/>
            <w:vAlign w:val="bottom"/>
          </w:tcPr>
          <w:p>
            <w:pPr>
              <w:spacing w:after="0"/>
              <w:rPr>
                <w:sz w:val="20"/>
                <w:szCs w:val="20"/>
                <w:color w:val="auto"/>
              </w:rPr>
            </w:pPr>
          </w:p>
        </w:tc>
      </w:tr>
      <w:tr>
        <w:trPr>
          <w:trHeight w:val="210"/>
        </w:trPr>
        <w:tc>
          <w:tcPr>
            <w:tcW w:w="3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October 1 - October 31, 2025</w:t>
            </w:r>
          </w:p>
        </w:tc>
        <w:tc>
          <w:tcPr>
            <w:tcW w:w="15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132,596</w:t>
            </w:r>
          </w:p>
        </w:tc>
        <w:tc>
          <w:tcPr>
            <w:tcW w:w="1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$188.54</w:t>
            </w:r>
          </w:p>
        </w:tc>
        <w:tc>
          <w:tcPr>
            <w:tcW w:w="1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132,596</w:t>
            </w:r>
          </w:p>
        </w:tc>
        <w:tc>
          <w:tcPr>
            <w:tcW w:w="1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$75,000,351</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November 1 - November 30,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181,616</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181,616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42,903,033</w:t>
            </w:r>
          </w:p>
        </w:tc>
        <w:tc>
          <w:tcPr>
            <w:tcW w:w="20" w:type="dxa"/>
            <w:vAlign w:val="bottom"/>
          </w:tcPr>
          <w:p>
            <w:pPr>
              <w:spacing w:after="0"/>
              <w:rPr>
                <w:sz w:val="18"/>
                <w:szCs w:val="18"/>
                <w:color w:val="auto"/>
              </w:rPr>
            </w:pPr>
          </w:p>
        </w:tc>
      </w:tr>
      <w:tr>
        <w:trPr>
          <w:trHeight w:val="216"/>
        </w:trPr>
        <w:tc>
          <w:tcPr>
            <w:tcW w:w="30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December 1 - December 31, 2025</w:t>
            </w:r>
          </w:p>
        </w:tc>
        <w:tc>
          <w:tcPr>
            <w:tcW w:w="100" w:type="dxa"/>
            <w:vAlign w:val="bottom"/>
            <w:tcBorders>
              <w:bottom w:val="single" w:sz="8" w:color="CCFFCC"/>
            </w:tcBorders>
            <w:shd w:val="clear" w:color="auto" w:fill="CCFFCC"/>
          </w:tcPr>
          <w:p>
            <w:pPr>
              <w:spacing w:after="0"/>
              <w:rPr>
                <w:sz w:val="18"/>
                <w:szCs w:val="18"/>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101,713</w:t>
            </w:r>
          </w:p>
        </w:tc>
        <w:tc>
          <w:tcPr>
            <w:tcW w:w="12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175.97</w:t>
            </w:r>
          </w:p>
        </w:tc>
        <w:tc>
          <w:tcPr>
            <w:tcW w:w="18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101,713</w:t>
            </w:r>
          </w:p>
        </w:tc>
        <w:tc>
          <w:tcPr>
            <w:tcW w:w="100" w:type="dxa"/>
            <w:vAlign w:val="bottom"/>
            <w:tcBorders>
              <w:bottom w:val="single" w:sz="8" w:color="CCFFCC"/>
            </w:tcBorders>
            <w:shd w:val="clear" w:color="auto" w:fill="CCFFCC"/>
          </w:tcPr>
          <w:p>
            <w:pPr>
              <w:spacing w:after="0"/>
              <w:rPr>
                <w:sz w:val="18"/>
                <w:szCs w:val="18"/>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25,004,149</w:t>
            </w:r>
          </w:p>
        </w:tc>
        <w:tc>
          <w:tcPr>
            <w:tcW w:w="20" w:type="dxa"/>
            <w:vAlign w:val="bottom"/>
          </w:tcPr>
          <w:p>
            <w:pPr>
              <w:spacing w:after="0"/>
              <w:rPr>
                <w:sz w:val="18"/>
                <w:szCs w:val="18"/>
                <w:color w:val="auto"/>
              </w:rPr>
            </w:pPr>
          </w:p>
        </w:tc>
      </w:tr>
      <w:tr>
        <w:trPr>
          <w:trHeight w:val="210"/>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415,925</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415,925</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-170815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repurchased a total of 1,451,019 shares at an average price per share of $189.20 under our publicly-announced share repurchase program. In January 2026, our Board of Directors replenished the Company’s share repurchase authority to an aggregate of $100.0 million of our common stock.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3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97" w:right="5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All statements, trend analyses, and other information contained in the following discussion relative to markets for our products and trends in revenue, gross margins, and anticipated expense levels, as well as other statements including words such as “may,” “expect,” “forecast,” “anticipate,” “intend,” “plan,” “believe,” “could,” “seek,” “project,” “estimate,” and other similar expressions constitute forward-looking statements. These forward-looking statements are subject to business and economic risks and uncertainties, including those discussed under the caption “Risk Factors” in Item 1A of this Form 10-K, and our actual results of operations may differ materially from those contained in the forward-looking statements.</w:t>
      </w:r>
    </w:p>
    <w:p>
      <w:pPr>
        <w:spacing w:after="0" w:line="75"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of our Annual Report on Form 10-K discusses our financial condition, results of operations, and liquidity and capital resources for the fiscal years ended December 31, 2025 and 2024, and year-to-year comparisons between fiscal 2025 and fiscal 2024 in accordance with U.S. Generally Accepted Accounting Principles (“GAAP”). A discussion of our financial condition, results of operations, and liquidity and capital resources for the fiscal year ended December 31, 2024 and 2023 and year-to-year comparisons between fiscal 2024 and fiscal 2023 that is not included in this Annual Report on Form 10-K can be found in “Management’s Discussion and Analysis of Financial Condition and Results of Operations” in Part II, Item 7 of our Annual Report on Form 10-K for the fiscal year ended December 31, 2024, filed on February 7,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develop, sell, deploy, service and maintain software solutions designed to manage supply chains, inventory and omnichannel operations for retailers, wholesalers, manufacturers, logistics providers and other organizations. Our customers include many of the world’s premier and most profitable brands.</w:t>
      </w:r>
    </w:p>
    <w:p>
      <w:pPr>
        <w:spacing w:after="0" w:line="68"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Our business model is singularly focused on the development and implementation of complex commerce enablement software solutions that are designed to optimize supply chains, and retail store operations including POS effectiveness and efficiency for our customers.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five principal sources of revenue:</w:t>
      </w:r>
    </w:p>
    <w:p>
      <w:pPr>
        <w:spacing w:after="0" w:line="117" w:lineRule="exact"/>
        <w:rPr>
          <w:sz w:val="20"/>
          <w:szCs w:val="20"/>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subscriptions, including software as a service (SaaS) and hosting of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our software;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services and software enhancements (collectively, “maintenance”) related to software licenses;</w:t>
      </w:r>
    </w:p>
    <w:p>
      <w:pPr>
        <w:spacing w:after="0" w:line="117"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including solutions planning and implementation, related consulting, customer training, and reimbursements from customers for out-of-pocket expenses (collectively, “services”);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w:t>
      </w:r>
    </w:p>
    <w:p>
      <w:pPr>
        <w:spacing w:after="0" w:line="225"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In 2025, we generated $1,081.4 million in total revenue, with a revenue mix of: cloud subscriptions 38%; software license 1%; maintenance 12%; services revenue 47%; and hardware 2%.</w:t>
      </w:r>
    </w:p>
    <w:p>
      <w:pPr>
        <w:spacing w:after="0" w:line="54"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have three geographic reportable segments: the Americas, EMEA, and APAC. Geographic revenue is based on the location of the sale. Our international revenue was approximately $373.5 million and $346.2 million for the years ended December 2025 and 2024, respectively, which represents approximately 35%, and 33% of our total revenue for the years ended December 2025 and 2024, respectively, respectively. International revenue includes all revenue derived from sales to customers outside the United States. At December 31, 2025, we employed approximately 4,370 employees worldwide. We have offices in Australia, Chile, China, France, Germany, India, Italy, Japan, the Netherlands, Singapore, Spain, and the United Kingdom, as well as representatives in Mexico and reseller partnerships in Latin America, Eastern Europe, the Middle East, South Africa, and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Expectations</w:t>
      </w:r>
    </w:p>
    <w:p>
      <w:pPr>
        <w:spacing w:after="0" w:line="121" w:lineRule="exact"/>
        <w:rPr>
          <w:sz w:val="20"/>
          <w:szCs w:val="20"/>
          <w:color w:val="auto"/>
        </w:rPr>
      </w:pPr>
    </w:p>
    <w:p>
      <w:pPr>
        <w:ind w:right="20" w:firstLine="281"/>
        <w:spacing w:after="0" w:line="255" w:lineRule="auto"/>
        <w:rPr>
          <w:sz w:val="20"/>
          <w:szCs w:val="20"/>
          <w:color w:val="auto"/>
        </w:rPr>
      </w:pPr>
      <w:r>
        <w:rPr>
          <w:rFonts w:ascii="Times New Roman" w:cs="Times New Roman" w:eastAsia="Times New Roman" w:hAnsi="Times New Roman"/>
          <w:sz w:val="18"/>
          <w:szCs w:val="18"/>
          <w:color w:val="auto"/>
        </w:rPr>
        <w:t>While we remain cautious about the global economy, our results for the full year ended December 31, 2025 exceeded our expectations due to solid demand for our cloud solutions. Our solutions are mission critical, supporting complex global supply chains. We believe that favorable secular tailwinds, such as the digital transformation of businesses in manufacturing, wholesale and retail, coupled with our commitment to investing in organic innovation to deliver leading cloud supply chain, inventory and omnichannel commerce solutions is in synergistic alignment with current market demand. We believe this alignment is contributing to our strong financial results, higher demand and strong win rates for our solutions for the period. We remain committed to investing in our business to drive customer success and expand our total addressable market, which we believe will position us well to achieve long-term sustainable growth and earnings.</w:t>
      </w:r>
    </w:p>
    <w:p>
      <w:pPr>
        <w:spacing w:after="0" w:line="81" w:lineRule="exact"/>
        <w:rPr>
          <w:sz w:val="20"/>
          <w:szCs w:val="20"/>
          <w:color w:val="auto"/>
        </w:rPr>
      </w:pPr>
    </w:p>
    <w:p>
      <w:pPr>
        <w:ind w:right="340" w:firstLine="284"/>
        <w:spacing w:after="0" w:line="282" w:lineRule="auto"/>
        <w:rPr>
          <w:sz w:val="20"/>
          <w:szCs w:val="20"/>
          <w:color w:val="auto"/>
        </w:rPr>
      </w:pPr>
      <w:r>
        <w:rPr>
          <w:rFonts w:ascii="Times New Roman" w:cs="Times New Roman" w:eastAsia="Times New Roman" w:hAnsi="Times New Roman"/>
          <w:sz w:val="18"/>
          <w:szCs w:val="18"/>
          <w:color w:val="auto"/>
        </w:rPr>
        <w:t>Going forward, we are investing in our cloud business, including enterprise investments in innovation, and strategic operating expenses to support growth objectives.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9" w:name="page30"/>
    <w:bookmarkEnd w:id="29"/>
    <w:p>
      <w:pPr>
        <w:ind w:left="280"/>
        <w:spacing w:after="0"/>
        <w:rPr>
          <w:sz w:val="20"/>
          <w:szCs w:val="20"/>
          <w:color w:val="auto"/>
        </w:rPr>
      </w:pPr>
      <w:r>
        <w:rPr>
          <w:rFonts w:ascii="Times New Roman" w:cs="Times New Roman" w:eastAsia="Times New Roman" w:hAnsi="Times New Roman"/>
          <w:sz w:val="18"/>
          <w:szCs w:val="18"/>
          <w:color w:val="auto"/>
        </w:rPr>
        <w:t>For 2026, our five strategic goals continue to be:</w:t>
      </w:r>
    </w:p>
    <w:p>
      <w:pPr>
        <w:spacing w:after="0" w:line="117" w:lineRule="exact"/>
        <w:rPr>
          <w:sz w:val="20"/>
          <w:szCs w:val="20"/>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customer success and drive sustainable long-term growth;</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innovation to expand our products and total addressable market;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Manhattan Active suite of cloud solutions;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grow our cloud business and cloud subscription revenue;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sales and marketing teams.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Cloud Subscription</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Under our Manhattan Active® Solutions cloud subscription offering, customers pay a periodic fee for the right to use our software within a cloud environment that we provide and manage over a specified period of time. Adoption of our Manhattan Active® cloud solutions continues to increase nicely, with cloud revenue up 21% over 2024. Cloud revenue now represents about 96% of our total software revenue.</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Customers on our legacy perpetual license program can convert their maintenance contracts to cloud subscription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Global Economic Trends and Industry Factors</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Global macro-economic trends, technology spending, and supply chain management market growth are important barometers for our business. In 2025, we generated approximately 65% of our total revenue in the United States, 20% in EMEA, and the remaining balance in APAC, Canada, and Latin America. In addition, Gartner Inc. (“Gartner”), an information technology research and advisory company, estimates that over 80% of every supply chain software solutions dollar invested is spent in North America and Europe; consequently, the health of the U.S. and European economies have a meaningful impact on our financial results.</w:t>
      </w:r>
    </w:p>
    <w:p>
      <w:pPr>
        <w:spacing w:after="0" w:line="68"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We sell technology-based solutions with total pricing, including software and services, in many cases exceeding $1.0 million. Our software is often a part of our customers’ and prospects’ much larger capital commitment associated with facilities expansion and business improvement. We believe that, given the mission critical nature of our software, combined with a challenging global macro environment, our current sales cycles for large cloud subscriptions in our target markets could be extended. While demand for our solutions is solid, the current business climate within the United States and geographic regions in which we operate may affect customers’ and prospects’ decisions regarding timing of strategic capital expenditures.</w:t>
      </w:r>
    </w:p>
    <w:p>
      <w:pPr>
        <w:spacing w:after="0" w:line="7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January 2026, the International Monetary Fund (IMF) provided a World Economic Outlook (WEO) update. The WEO update noted, “Global growth is projected at 3.3 percent in 2026 and 3.2 percent in 2027: rates similar to the estimated 3.3 percent outturn in 2025. Global headline inflation is expected to decline from an estimated 4.1 percent in 2025 to 3.8 percent in 2026 and further to 3.4 percent in 2027. The inflation projections are also broadly unchanged from those in October and envisage inflation returning to target more gradually in the United States than in other large economies.”</w:t>
      </w:r>
    </w:p>
    <w:p>
      <w:pPr>
        <w:spacing w:after="0" w:line="72"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WEO update projected advanced economies, which represent our primary revenue markets, would grow at about 2.4 and 2.0 percent in 2026 and 2027, while the emerging and developing economies would grow at about 4.2 percent in 2026 and 4.1 percent in 2027.</w:t>
      </w:r>
    </w:p>
    <w:p>
      <w:pPr>
        <w:spacing w:after="0" w:line="54"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While we are encouraged by our results, we remain cautious regarding the pace of global economic growth. We believe global geopolitical and economic volatility likely will continue to shape customers’ and prospects’ enterprise software buying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Key Performance Metrics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regularly review metrics to evaluate our business, measure our performance, identify trends affecting our business, formulate financial projections and make strategic decisions. We believe cloud subscriptions revenue growth and remaining performance obligation (RPO) growth are the leading indicators of our business performance, primarily derived from cloud subscription fees that customers pay for our Unified Omnichannel Commerce and Digital Supply Chain solutions.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Cloud Subscriptions Revenue Growth</w:t>
      </w:r>
    </w:p>
    <w:p>
      <w:pPr>
        <w:spacing w:after="0" w:line="121"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Our cloud revenue growth provides insight into our ability to maintain and grow our cloud customer base. Total cloud revenue increased from $337.2 million in 2024 to $408.1 million in 2025, representing a 21% year-over-year increase. Cloud revenue growth is being driven by strong demand for our cloud offerings.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Transaction price allocated to RPO represents contracted revenue that has not yet been recognized, which includes deferred revenue and non-cancelable amounts that we expect to invoice and recognize as revenue in future periods. Over 98% of our RPO</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0" w:name="page31"/>
    <w:bookmarkEnd w:id="3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represent cloud native subscriptions with a non-cancelable term greater than one year. Maintenance contracts typically are for one year and not included in RPO. RPO provides insight into our contracted backlog of future business. As of December 31, 2025, our RPO was approximately $2.2 billion, an increase of 25% over December 31, 2024 on strong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225"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Subscriptions and Software License revenue: </w:t>
      </w:r>
      <w:r>
        <w:rPr>
          <w:rFonts w:ascii="Times New Roman" w:cs="Times New Roman" w:eastAsia="Times New Roman" w:hAnsi="Times New Roman"/>
          <w:sz w:val="18"/>
          <w:szCs w:val="18"/>
          <w:color w:val="auto"/>
        </w:rPr>
        <w:t>In the full year ended December 31, 2025, cloud subscriptions revenue was 96% of total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software license revenue. In 2025, cloud subscriptions revenue totaled $408.1 million, or 38% of total revenue. The Americas, EMEA, and APAC segments recognized $313.0 million, $80.1 million and $15.0 million in cloud subscriptions revenue, respectively, in 2025. Cloud subscriptions revenue is recognized over the term of the agreement, typically five years or more. Cloud subscription revenue growth is influenced by the strength of general economic and business conditions and the competitive position of our software products. These revenues generally have long sales cycles. Approximately 56% of the total value of new non-cancelable cloud subscriptions (excluding renewals) signed during 2025 was with new customers and 44% was with existing customers. We define new customers as entities from which we either have never earned revenue or have not recognized revenue in the last five years.</w:t>
      </w:r>
    </w:p>
    <w:p>
      <w:pPr>
        <w:spacing w:after="0" w:line="81"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In 2025, license revenue totaled $14.8 million, or 1% of total revenue. The Americas, EMEA, and APAC segments totaled $5.6 million, $8.4 million, and $0.8 million in license revenue, respectively, in 2025.</w:t>
      </w:r>
    </w:p>
    <w:p>
      <w:pPr>
        <w:spacing w:after="0" w:line="54"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Our Unified Omnichannel Commerce and Digital Supply Chain solutions are focused on core omnichannel operation (e-commerce, retail store operations and POS), supply chain commerce operations (Warehouse Management, Transportation Management and Labor Management), and inventory optimization, which are intensely competitive markets characterized by rapid technological change. We are a market leader in the supply chain management and omnichannel software solutions market as defined by industry analysts such as ARC Advisory Group and Gartner. Our goal is to extend our position as a leading global supply chain solutions provider by growing our cloud subscriptions revenues faster than our competitors through investment in innovation.</w:t>
      </w:r>
    </w:p>
    <w:p>
      <w:pPr>
        <w:spacing w:after="0" w:line="183" w:lineRule="exact"/>
        <w:rPr>
          <w:sz w:val="20"/>
          <w:szCs w:val="20"/>
          <w:color w:val="auto"/>
        </w:rPr>
      </w:pPr>
    </w:p>
    <w:p>
      <w:pPr>
        <w:ind w:right="20" w:firstLine="25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Revenue: </w:t>
      </w:r>
      <w:r>
        <w:rPr>
          <w:rFonts w:ascii="Times New Roman" w:cs="Times New Roman" w:eastAsia="Times New Roman" w:hAnsi="Times New Roman"/>
          <w:sz w:val="18"/>
          <w:szCs w:val="18"/>
          <w:color w:val="auto"/>
        </w:rPr>
        <w:t>Our maintenance revenue totaled $130.0 million, or 12% of total revenue. The Americas, EMEA and APAC segments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$102.4 million, $19.0 million, and $8.6 million, respectively, in maintenance revenue in 2025. For maintenance, we offer a comprehensive 24 hours per day, 365 days per year program that provides our customers with software upgrades, when and if available, which include additional or improved functionality and technological advances incorporating emerging supply chain and industry initiatives.</w:t>
      </w:r>
    </w:p>
    <w:p>
      <w:pPr>
        <w:spacing w:after="0" w:line="7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Maintenance relates to our legacy perpetual license sales. We expect maintenance revenues to decline as we continue to develop our cloud offerings, and be offset by additional cloud revenue, including from customers converting their maintenance contracts to cloud subscriptions. The growth of maintenance revenues is influenced by: (1) new software license contracts; (2) annual renewal of support contracts; and (3) fluctuations in currency rates. Substantially all of our customers renew their annual support contracts or convert their maintenance contracts to cloud subscriptions. Maintenance revenue is generally paid in advance and recognized over the term of the agreement, typically twelve months. Maintenance renewal revenue is recognized over the renewal period once we have a contract upon payment from the customer.</w:t>
      </w:r>
    </w:p>
    <w:p>
      <w:pPr>
        <w:spacing w:after="0" w:line="183" w:lineRule="exact"/>
        <w:rPr>
          <w:sz w:val="20"/>
          <w:szCs w:val="20"/>
          <w:color w:val="auto"/>
        </w:rPr>
      </w:pPr>
    </w:p>
    <w:p>
      <w:pPr>
        <w:ind w:right="7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Services Revenue: </w:t>
      </w:r>
      <w:r>
        <w:rPr>
          <w:rFonts w:ascii="Times New Roman" w:cs="Times New Roman" w:eastAsia="Times New Roman" w:hAnsi="Times New Roman"/>
          <w:sz w:val="18"/>
          <w:szCs w:val="18"/>
          <w:color w:val="auto"/>
        </w:rPr>
        <w:t>In 2025, our services revenue totaled $503.0 million, or 47% of total revenue. The Americas, EMEA, and APAC segments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$364.7 million, $107.5 million, and $30.8 million, respectively.</w:t>
      </w:r>
    </w:p>
    <w:p>
      <w:pPr>
        <w:spacing w:after="0" w:line="5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Our professional services organization provides our customers with expertise and assistance in planning and implementing our solutions. To ensure a successful product implementation, consultants assist customers with the initial implementation of a system or service, the conversion and transfer of the customer’s historical data to the new system or service, and ongoing training, education, and system/service upgrades. We believe our professional services enable customers to implement our software rapidly, ensure the customer’s success with our solutions, strengthen our customer relationships, and add to our industry-specific knowledge base for use in future implementations and product innovations.</w:t>
      </w:r>
    </w:p>
    <w:p>
      <w:pPr>
        <w:spacing w:after="0" w:line="7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Although our professional services are optional, the majority of our customers use at least some portion of these services for their planning, implementation, ongoing support, training, system upgrades or related needs. Professional services are typically rendered under time and materials-based contracts with services typically billed on an hourly basis. Professional services are sometimes rendered under fixed-fee based contracts with payments due on specific dates or milestones.</w:t>
      </w:r>
    </w:p>
    <w:p>
      <w:pPr>
        <w:spacing w:after="0" w:line="72"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Services revenue growth is contingent upon cloud sales and customer upgrade cycles, which are influenced by the strength of general economic and business conditions and the competitive position of our software products. In addition, our professional services business has competitive exposure to offshore providers and other consulting companies.</w:t>
      </w:r>
    </w:p>
    <w:p>
      <w:pPr>
        <w:spacing w:after="0" w:line="172" w:lineRule="exact"/>
        <w:rPr>
          <w:sz w:val="20"/>
          <w:szCs w:val="20"/>
          <w:color w:val="auto"/>
        </w:rPr>
      </w:pPr>
    </w:p>
    <w:p>
      <w:pPr>
        <w:ind w:right="2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Hardware Revenue: </w:t>
      </w:r>
      <w:r>
        <w:rPr>
          <w:rFonts w:ascii="Times New Roman" w:cs="Times New Roman" w:eastAsia="Times New Roman" w:hAnsi="Times New Roman"/>
          <w:sz w:val="18"/>
          <w:szCs w:val="18"/>
          <w:color w:val="auto"/>
        </w:rPr>
        <w:t>Our hardware revenue, which we recognize net of related costs, totaled $25.4 million in 2025 representing 2% of total revenue.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convenience for our cloud and perpetual license customers, we resell a variety of hardware products developed and manufactured by third parties. These products include computer hardware, radio frequency terminal networks, RFID chip readers,</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380"/>
        <w:spacing w:after="0" w:line="261" w:lineRule="auto"/>
        <w:rPr>
          <w:sz w:val="20"/>
          <w:szCs w:val="20"/>
          <w:color w:val="auto"/>
        </w:rPr>
      </w:pPr>
      <w:r>
        <w:rPr>
          <w:rFonts w:ascii="Times New Roman" w:cs="Times New Roman" w:eastAsia="Times New Roman" w:hAnsi="Times New Roman"/>
          <w:sz w:val="18"/>
          <w:szCs w:val="18"/>
          <w:color w:val="auto"/>
        </w:rPr>
        <w:t>bar code printers and scanners, and other peripherals. We resell all third-party hardware products and related maintenance pursuant to agreements with manufacturers or through distributor-authorized reseller agreements pursuant to which we are entitled to purchase hardware products and services at discount prices. We purchase hardware from our vendors only after receiving an order from a customer. As a result, we do not maintain hardware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Development</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We continue to invest significantly in research and development (R&amp;D) to provide leading Unified Omnichannel Commerce and Digital Supply Chain solutions to enable global retailers, manufacturers, wholesalers, distributors and logistics providers to successfully manage accelerating and fluctuating demands as well as the increasing complexity and volatility of their local and global supply chains, retail store operations and POS. Our R&amp;D expenses for the years ended December 2025 and 2024 were $145.1 million and $137.7 million, respectively.</w:t>
      </w:r>
    </w:p>
    <w:p>
      <w:pPr>
        <w:spacing w:after="0" w:line="7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We expect to continue to focus our R&amp;D resources on the development and enhancement of our core supply chain, inventory optimization, omnichannel and POS software solutions. We offer what we believe to be the broadest solutions portfolio in the supply chain solutions marketplace, to address all aspects of inventory optimization, transportation management, distribution management, planning, and omnichannel operations including order management, store inventory &amp; fulfillment, call center and POS.</w:t>
      </w:r>
    </w:p>
    <w:p>
      <w:pPr>
        <w:spacing w:after="0" w:line="72"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We also plan to continue to enhance our existing solutions and to introduce new solutions to address evolving industry standards and market needs. We identify opportunities to further enhance our solutions and to develop and provide new solutions through our customer support organization, as well as through ongoing customer consulting engagements and implementations, interactions with our user groups, association with leading industry analysts and market research firms, and participation in industry standards and research committees. Our solutions address the needs of customers in various vertical markets, including retail, consumer goods, food and grocery logistics service providers, industrial and wholesale, high technology and electronics, life sciences, and government.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and Financial Condition</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For 2025, we generated cash flow from operating activities of $389.5 million and have generated a cumulative total of $930.7 million for the three years ended December 31, 2025. Our cash at December 31, 2025 totaled $328.7 million, with no debt. We currently have no credit facilities. During the past three years, our primary uses of cash have been for funding investments in R&amp;D in our Unified Omnichannel Commerce and Digital Supply Chain solutions to drive revenue and earnings growth. In addition for 2025, we repurchased $274.5 million of Manhattan Associates’ outstanding common stock under the share repurchase program approved by our Board of Directors. In January 2026, our Board of Directors replenished the Company’s share repurchase authority to an aggregate of $100.0 million of our common stock.</w:t>
      </w:r>
    </w:p>
    <w:p>
      <w:pPr>
        <w:spacing w:after="0" w:line="7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2026, we expect that our priorities for use of cash will continue to be investments in our Unified Omnichannel Commerce and Digital Supply Chain solutions. We also anticipate prioritizing capital allocation in our global teams to fund growth, and accretive share repurchases. We do not anticipate any borrowing requirements in 2026 for general corporate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Summary</w:t>
      </w:r>
    </w:p>
    <w:p>
      <w:pPr>
        <w:spacing w:after="0" w:line="121" w:lineRule="exact"/>
        <w:rPr>
          <w:sz w:val="20"/>
          <w:szCs w:val="20"/>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$1,081.4 million for 2025 compared to $1,042.4 million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 revenue: $408.1 million for 2025 compared to $337.2 million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revenue: $14.8 million for 2025 compared to $15.1 million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$503.0 million for 2025 compared to $525.5 million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$3.60 for 2025 compared to $3.51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$279.8 million for 2025 compared to $261.6 million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25.9% for 2025 compared to operating margins of 25.1%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$389.5 million for 2025 compared to $295.0 million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income taxes: $47.3 million for 2025 compared to $83.4 million for 2024;</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investments: $328.7 million at December 31, 2025 compared to $266.2 million at December 31, 2024; and</w:t>
      </w:r>
    </w:p>
    <w:p>
      <w:pPr>
        <w:spacing w:after="0" w:line="117" w:lineRule="exact"/>
        <w:rPr>
          <w:rFonts w:ascii="Times New Roman" w:cs="Times New Roman" w:eastAsia="Times New Roman" w:hAnsi="Times New Roman"/>
          <w:sz w:val="18"/>
          <w:szCs w:val="18"/>
          <w:color w:val="auto"/>
        </w:rPr>
      </w:pPr>
    </w:p>
    <w:p>
      <w:pPr>
        <w:ind w:left="520" w:right="20" w:hanging="257"/>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In 2025, we repurchased 1,451,019 shares of Manhattan Associates’ outstanding common stock for $274.5 million under the share repurchase program approved by our Board of Directors. In January 2026, our Board of Directors replenished the Company’s share repurchase authority to an aggregate of $100.0 million of our common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In the following table, we present a selection of certain Statement of Income data for 2025 and 2024.</w:t>
            </w: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w w:val="71"/>
              </w:rPr>
              <w:t>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4"/>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(in</w:t>
            </w:r>
          </w:p>
        </w:tc>
        <w:tc>
          <w:tcPr>
            <w:tcW w:w="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Cloud subscriptions</w:t>
            </w:r>
          </w:p>
        </w:tc>
        <w:tc>
          <w:tcPr>
            <w:tcW w:w="14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408,138</w:t>
            </w:r>
          </w:p>
        </w:tc>
        <w:tc>
          <w:tcPr>
            <w:tcW w:w="2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38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w:t>
            </w:r>
          </w:p>
        </w:tc>
        <w:tc>
          <w:tcPr>
            <w:tcW w:w="0" w:type="dxa"/>
            <w:vAlign w:val="bottom"/>
          </w:tcPr>
          <w:p>
            <w:pPr>
              <w:spacing w:after="0"/>
              <w:rPr>
                <w:sz w:val="1"/>
                <w:szCs w:val="1"/>
                <w:color w:val="auto"/>
              </w:rPr>
            </w:pPr>
          </w:p>
        </w:tc>
      </w:tr>
      <w:tr>
        <w:trPr>
          <w:trHeight w:val="216"/>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Maintenance</w:t>
            </w:r>
          </w:p>
        </w:tc>
        <w:tc>
          <w:tcPr>
            <w:tcW w:w="10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129,972</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138,304</w:t>
            </w:r>
          </w:p>
        </w:tc>
        <w:tc>
          <w:tcPr>
            <w:tcW w:w="38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503,044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525,517</w:t>
            </w: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Hardware</w:t>
            </w:r>
          </w:p>
        </w:tc>
        <w:tc>
          <w:tcPr>
            <w:tcW w:w="106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25,419</w:t>
            </w:r>
          </w:p>
        </w:tc>
        <w:tc>
          <w:tcPr>
            <w:tcW w:w="2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380" w:type="dxa"/>
            <w:vAlign w:val="bottom"/>
            <w:tcBorders>
              <w:bottom w:val="single" w:sz="8" w:color="CCFFCC"/>
            </w:tcBorders>
            <w:shd w:val="clear" w:color="auto" w:fill="CCFFCC"/>
          </w:tcPr>
          <w:p>
            <w:pPr>
              <w:spacing w:after="0"/>
              <w:rPr>
                <w:sz w:val="18"/>
                <w:szCs w:val="18"/>
                <w:color w:val="auto"/>
              </w:rPr>
            </w:pPr>
          </w:p>
        </w:tc>
        <w:tc>
          <w:tcPr>
            <w:tcW w:w="164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w:t>
            </w:r>
          </w:p>
        </w:tc>
        <w:tc>
          <w:tcPr>
            <w:tcW w:w="0" w:type="dxa"/>
            <w:vAlign w:val="bottom"/>
          </w:tcPr>
          <w:p>
            <w:pPr>
              <w:spacing w:after="0"/>
              <w:rPr>
                <w:sz w:val="1"/>
                <w:szCs w:val="1"/>
                <w:color w:val="auto"/>
              </w:rPr>
            </w:pPr>
          </w:p>
        </w:tc>
      </w:tr>
      <w:tr>
        <w:trPr>
          <w:trHeight w:val="209"/>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1,081,392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1,042,352</w:t>
            </w: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471,405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469,659</w:t>
            </w: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Cost of software license</w:t>
            </w:r>
          </w:p>
        </w:tc>
        <w:tc>
          <w:tcPr>
            <w:tcW w:w="10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8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81,175</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75,976</w:t>
            </w:r>
          </w:p>
        </w:tc>
        <w:tc>
          <w:tcPr>
            <w:tcW w:w="38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89,810</w:t>
            </w: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6,317</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380" w:type="dxa"/>
            <w:vAlign w:val="bottom"/>
            <w:shd w:val="clear" w:color="auto" w:fill="CCFFCC"/>
          </w:tcPr>
          <w:p>
            <w:pPr>
              <w:spacing w:after="0"/>
              <w:rPr>
                <w:sz w:val="18"/>
                <w:szCs w:val="18"/>
                <w:color w:val="auto"/>
              </w:rPr>
            </w:pPr>
          </w:p>
        </w:tc>
        <w:tc>
          <w:tcPr>
            <w:tcW w:w="16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CFFCC"/>
            </w:tcBorders>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6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801,592</w:t>
            </w:r>
          </w:p>
        </w:tc>
        <w:tc>
          <w:tcPr>
            <w:tcW w:w="2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780,756</w:t>
            </w:r>
          </w:p>
        </w:tc>
        <w:tc>
          <w:tcPr>
            <w:tcW w:w="380" w:type="dxa"/>
            <w:vAlign w:val="bottom"/>
            <w:tcBorders>
              <w:bottom w:val="single" w:sz="8" w:color="CCFFCC"/>
            </w:tcBorders>
            <w:shd w:val="clear" w:color="auto" w:fill="CCFFCC"/>
          </w:tcPr>
          <w:p>
            <w:pPr>
              <w:spacing w:after="0"/>
              <w:rPr>
                <w:sz w:val="18"/>
                <w:szCs w:val="18"/>
                <w:color w:val="auto"/>
              </w:rPr>
            </w:pPr>
          </w:p>
        </w:tc>
        <w:tc>
          <w:tcPr>
            <w:tcW w:w="164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261,596</w:t>
            </w:r>
          </w:p>
        </w:tc>
        <w:tc>
          <w:tcPr>
            <w:tcW w:w="3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shd w:val="clear" w:color="auto" w:fill="CCFFCC"/>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10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360" w:type="dxa"/>
            <w:vAlign w:val="bottom"/>
            <w:gridSpan w:val="2"/>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25.9%</w:t>
            </w:r>
          </w:p>
        </w:tc>
        <w:tc>
          <w:tcPr>
            <w:tcW w:w="2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560" w:type="dxa"/>
            <w:vAlign w:val="bottom"/>
            <w:gridSpan w:val="2"/>
            <w:shd w:val="clear" w:color="auto" w:fill="CCFFC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25.1%</w:t>
            </w:r>
          </w:p>
        </w:tc>
        <w:tc>
          <w:tcPr>
            <w:tcW w:w="16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4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-2536825</wp:posOffset>
            </wp:positionV>
            <wp:extent cx="128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-2536825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-1148080</wp:posOffset>
            </wp:positionV>
            <wp:extent cx="1289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-1148080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We have three reportable segments: the Americas, EMEA, and APAC. Revenue information is based on the location of sale. The revenues represented below are from external customers only. The geography-based expenses include costs of personnel, direct sales, marketing expenses, and general and administrative costs to support the business. There are certain corporate expenses included in the Americas segment that we do not charge to the other segments including research and development, stock compensation, certain marketing and general and administrative costs that support the global organization, and the amortization of acquired developed technology. Included in the Americas costs are all research and development costs, including the costs associated with our operations in India. During 2025 and 2024, we derived the majority of our revenues from sales to customers within our Americas segment. In the following table, we present a summary of revenue and operating profit by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8"/>
                <w:szCs w:val="18"/>
                <w:color w:val="auto"/>
              </w:rPr>
            </w:pPr>
          </w:p>
        </w:tc>
        <w:tc>
          <w:tcPr>
            <w:tcW w:w="17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2"/>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Cloud subscriptions</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520" w:type="dxa"/>
            <w:vAlign w:val="bottom"/>
            <w:gridSpan w:val="2"/>
            <w:shd w:val="clear" w:color="auto" w:fill="CCFFCC"/>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312,992</w:t>
            </w: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264,331</w:t>
            </w:r>
          </w:p>
        </w:tc>
        <w:tc>
          <w:tcPr>
            <w:tcW w:w="2100" w:type="dxa"/>
            <w:vAlign w:val="bottom"/>
            <w:gridSpan w:val="2"/>
            <w:shd w:val="clear" w:color="auto" w:fill="CCFFCC"/>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80,161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62,779</w:t>
            </w:r>
          </w:p>
        </w:tc>
        <w:tc>
          <w:tcPr>
            <w:tcW w:w="21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14,985</w:t>
            </w:r>
          </w:p>
        </w:tc>
        <w:tc>
          <w:tcPr>
            <w:tcW w:w="34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34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w:t>
            </w: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cloud subscriptions</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408,138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21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Software license</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5,641</w:t>
            </w: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2100" w:type="dxa"/>
            <w:vAlign w:val="bottom"/>
            <w:gridSpan w:val="2"/>
            <w:shd w:val="clear" w:color="auto" w:fill="CCFFCC"/>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-54%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511%</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34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34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w:t>
            </w: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software license</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14,819</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102,415</w:t>
            </w: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110,751</w:t>
            </w:r>
          </w:p>
        </w:tc>
        <w:tc>
          <w:tcPr>
            <w:tcW w:w="2100" w:type="dxa"/>
            <w:vAlign w:val="bottom"/>
            <w:gridSpan w:val="2"/>
            <w:shd w:val="clear" w:color="auto" w:fill="CCFFCC"/>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18,935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3%</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8,622</w:t>
            </w:r>
          </w:p>
        </w:tc>
        <w:tc>
          <w:tcPr>
            <w:tcW w:w="34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34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maintenance</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129,972</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138,304</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364,731</w:t>
            </w: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389,550</w:t>
            </w:r>
          </w:p>
        </w:tc>
        <w:tc>
          <w:tcPr>
            <w:tcW w:w="2100" w:type="dxa"/>
            <w:vAlign w:val="bottom"/>
            <w:gridSpan w:val="2"/>
            <w:shd w:val="clear" w:color="auto" w:fill="CCFFCC"/>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107,531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107,384</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30,782</w:t>
            </w:r>
          </w:p>
        </w:tc>
        <w:tc>
          <w:tcPr>
            <w:tcW w:w="34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34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503,044</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525,517</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24,647</w:t>
            </w: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25,603</w:t>
            </w:r>
          </w:p>
        </w:tc>
        <w:tc>
          <w:tcPr>
            <w:tcW w:w="2100" w:type="dxa"/>
            <w:vAlign w:val="bottom"/>
            <w:gridSpan w:val="2"/>
            <w:shd w:val="clear" w:color="auto" w:fill="CCFFCC"/>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1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hardware</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25,419</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810,426</w:t>
            </w: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802,486</w:t>
            </w:r>
          </w:p>
        </w:tc>
        <w:tc>
          <w:tcPr>
            <w:tcW w:w="2100" w:type="dxa"/>
            <w:vAlign w:val="bottom"/>
            <w:gridSpan w:val="2"/>
            <w:shd w:val="clear" w:color="auto" w:fill="CCFFCC"/>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215,796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190,523</w:t>
            </w:r>
          </w:p>
        </w:tc>
        <w:tc>
          <w:tcPr>
            <w:tcW w:w="21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55,170</w:t>
            </w:r>
          </w:p>
        </w:tc>
        <w:tc>
          <w:tcPr>
            <w:tcW w:w="34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49,343</w:t>
            </w:r>
          </w:p>
        </w:tc>
        <w:tc>
          <w:tcPr>
            <w:tcW w:w="34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1,081,392</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1,042,352</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520" w:type="dxa"/>
            <w:vAlign w:val="bottom"/>
            <w:gridSpan w:val="2"/>
            <w:shd w:val="clear" w:color="auto" w:fill="CCFFCC"/>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167,571</w:t>
            </w: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167,343</w:t>
            </w:r>
          </w:p>
        </w:tc>
        <w:tc>
          <w:tcPr>
            <w:tcW w:w="2100" w:type="dxa"/>
            <w:vAlign w:val="bottom"/>
            <w:gridSpan w:val="2"/>
            <w:shd w:val="clear" w:color="auto" w:fill="CCFFCC"/>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88,073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21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2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24,156</w:t>
            </w:r>
          </w:p>
        </w:tc>
        <w:tc>
          <w:tcPr>
            <w:tcW w:w="340" w:type="dxa"/>
            <w:vAlign w:val="bottom"/>
            <w:tcBorders>
              <w:bottom w:val="single" w:sz="8" w:color="CCFFCC"/>
            </w:tcBorders>
            <w:shd w:val="clear" w:color="auto" w:fill="CCFFCC"/>
          </w:tcPr>
          <w:p>
            <w:pPr>
              <w:spacing w:after="0"/>
              <w:rPr>
                <w:sz w:val="18"/>
                <w:szCs w:val="18"/>
                <w:color w:val="auto"/>
              </w:rPr>
            </w:pPr>
          </w:p>
        </w:tc>
        <w:tc>
          <w:tcPr>
            <w:tcW w:w="3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34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5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261,596</w:t>
            </w:r>
          </w:p>
        </w:tc>
        <w:tc>
          <w:tcPr>
            <w:tcW w:w="2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-5185410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-5185410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-4354195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-4354195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-3522345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-3522345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-2691130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-2691130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-1859280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-1859280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-1028065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-1028065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consolidated results of our operations for the years ended December 2025 and 2024 are discussed below.</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revenue consists of fees generated from cloud subscriptions, software licensing, maintenance, professional services, and hardware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0" w:type="dxa"/>
            <w:vAlign w:val="bottom"/>
            <w:vMerge w:val="restart"/>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of Total Revenue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Cloud subscriptions</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408,138</w:t>
            </w:r>
          </w:p>
        </w:tc>
        <w:tc>
          <w:tcPr>
            <w:tcW w:w="660" w:type="dxa"/>
            <w:vAlign w:val="bottom"/>
            <w:gridSpan w:val="2"/>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19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w:t>
            </w:r>
          </w:p>
        </w:tc>
        <w:tc>
          <w:tcPr>
            <w:tcW w:w="14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129,972</w:t>
            </w: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138,304</w:t>
            </w:r>
          </w:p>
        </w:tc>
        <w:tc>
          <w:tcPr>
            <w:tcW w:w="19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w:t>
            </w:r>
          </w:p>
        </w:tc>
        <w:tc>
          <w:tcPr>
            <w:tcW w:w="14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503,044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525,517</w:t>
            </w:r>
          </w:p>
        </w:tc>
        <w:tc>
          <w:tcPr>
            <w:tcW w:w="1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Hardware</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25,419</w:t>
            </w: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3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4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36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1,081,392</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1,042,352</w:t>
            </w:r>
          </w:p>
        </w:tc>
        <w:tc>
          <w:tcPr>
            <w:tcW w:w="3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1289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Subscriptions Revenue</w:t>
      </w:r>
    </w:p>
    <w:p>
      <w:pPr>
        <w:spacing w:after="0" w:line="12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Cloud subscriptions revenue increased $70.9 million to $408.1 million in 2025 compared to 2024. Our customers have demonstrated a clear preference for cloud-based solutions, including existing customers that are migrating from on-premise to cloud-based offerings. Cloud subscriptions revenue increased $48.7 million, $17.3 million and $4.9 million for the Americas, EMEA, and APAC segments, respectively. Cloud subscriptions revenue recognized from first time cloud customers (defined as customers with no prior cloud subscriptions) during the year in which their initial cloud subscription began was approximately 8% and 2% of total cloud revenue in 2025 and 2024, respectively. Our contracts with first time cloud customers for multi-year subscriptions typically increase in scope and price over the term, and thus revenue recognized during the year when the contract is signed tends to be small relative to the total contract value. Revenue recognized in the initial year excludes revenue from additional solutions sold to the customer in future years and could be impacted by the timing of the start date of the subscription during the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License Revenue</w:t>
      </w:r>
    </w:p>
    <w:p>
      <w:pPr>
        <w:spacing w:after="0" w:line="14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Software license revenue decreased $0.3 million to $14.8 million in 2025 compared to 2024 on strong market preference for our cloud-native solutions. License revenue for the Americas and APAC segments decreased $6.6 million and $0.7 million, respectively, while license revenue for the EMEA segment increased $7.0 million in 2025 over 2024. The majority of our software license revenue relates to our warehouse management product group (approximately 80%)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Revenue</w:t>
      </w:r>
    </w:p>
    <w:p>
      <w:pPr>
        <w:spacing w:after="0" w:line="121" w:lineRule="exact"/>
        <w:rPr>
          <w:sz w:val="20"/>
          <w:szCs w:val="20"/>
          <w:color w:val="auto"/>
        </w:rPr>
      </w:pPr>
    </w:p>
    <w:p>
      <w:pPr>
        <w:ind w:right="400" w:firstLine="255"/>
        <w:spacing w:after="0" w:line="261" w:lineRule="auto"/>
        <w:rPr>
          <w:sz w:val="20"/>
          <w:szCs w:val="20"/>
          <w:color w:val="auto"/>
        </w:rPr>
      </w:pPr>
      <w:r>
        <w:rPr>
          <w:rFonts w:ascii="Times New Roman" w:cs="Times New Roman" w:eastAsia="Times New Roman" w:hAnsi="Times New Roman"/>
          <w:sz w:val="18"/>
          <w:szCs w:val="18"/>
          <w:color w:val="auto"/>
        </w:rPr>
        <w:t>Maintenance revenue decreased by $8.3 million in 2025 compared to 2024. The Americas and APAC segments decreased $8.3 million and $0.6 million, respectively, compared to 2024, while the EMEA segment increased $0.6 million. Maintenance relates to our perpetual software licenses. The decrease in maintenance revenue for the Americas segment is primarily driven by customer demand for cloud-based solutions over perpetual software licenses.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Revenue</w:t>
      </w:r>
    </w:p>
    <w:p>
      <w:pPr>
        <w:spacing w:after="0" w:line="121"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Services revenue decreased $22.5 million in 2025 compared to 2024. Service revenue for the Americas segment decreased $24.8 million, while services revenue for the EMEA and APAC segments increased $2.2 million and $0.1 million, respectively, compared to 2024. The decrease in services revenue for the Americas segment is primarily driven by customer budgetary constraints that shifted services work to future periods which negatively impacted our professional services revenue related to cloud subscriptions. The percentage of professional services revenue that relates to cloud subscriptions in 2025 and 2024 was approximately 75%, respectively. The remainder of our professional services revenue relates to implementations, ongoing support, and upgrades of licensed software. Professional services revenue recognized from first time cloud customers (defined as customers with no prior cloud subscriptions) during the year in which their initial cloud subscription began was approximately 7% of total services revenue in 2025 and 2024, respectively. As with our cloud subscriptions, customers often continue to purchase our professional services beyond their initial implementation to roll out additional locations, implement additional features and functionality, and implement additional products, as well as for general support. Professional services revenue recognized from first time cloud customers excludes those services we provided after the year in which the initial cloud subscription began. Further, the professional services revenue attributable to first time cloud customers could be affected by the timing of the start date of the subscription during the year.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Revenue</w:t>
      </w:r>
    </w:p>
    <w:p>
      <w:pPr>
        <w:spacing w:after="0" w:line="121"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Hardware revenue, net decreased $0.8 million in 2025 compared to 2024. The majority of hardware sales are derived from our Americas segment. Sales of hardware are largely dependent upon customer-specific desires, which fluctuate.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4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60" w:type="dxa"/>
            <w:vAlign w:val="bottom"/>
            <w:tcBorders>
              <w:bottom w:val="single" w:sz="8" w:color="auto"/>
            </w:tcBorders>
          </w:tcPr>
          <w:p>
            <w:pPr>
              <w:spacing w:after="0"/>
              <w:rPr>
                <w:sz w:val="24"/>
                <w:szCs w:val="24"/>
                <w:color w:val="auto"/>
              </w:rPr>
            </w:pPr>
          </w:p>
        </w:tc>
      </w:tr>
      <w:tr>
        <w:trPr>
          <w:trHeight w:val="209"/>
        </w:trPr>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42"/>
        </w:trPr>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16"/>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980" w:type="dxa"/>
            <w:vAlign w:val="bottom"/>
            <w:gridSpan w:val="2"/>
            <w:shd w:val="clear" w:color="auto" w:fill="CCFFC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471,405</w:t>
            </w:r>
          </w:p>
        </w:tc>
        <w:tc>
          <w:tcPr>
            <w:tcW w:w="700" w:type="dxa"/>
            <w:vAlign w:val="bottom"/>
            <w:gridSpan w:val="2"/>
            <w:shd w:val="clear" w:color="auto" w:fill="CCFFCC"/>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469,659</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software license</w:t>
            </w:r>
          </w:p>
        </w:tc>
        <w:tc>
          <w:tcPr>
            <w:tcW w:w="19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-29%</w:t>
            </w:r>
          </w:p>
        </w:tc>
      </w:tr>
      <w:tr>
        <w:trPr>
          <w:trHeight w:val="20"/>
        </w:trPr>
        <w:tc>
          <w:tcPr>
            <w:tcW w:w="4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29"/>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980" w:type="dxa"/>
            <w:vAlign w:val="bottom"/>
            <w:gridSpan w:val="2"/>
            <w:shd w:val="clear" w:color="auto" w:fill="CCFFC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472,339</w:t>
            </w:r>
          </w:p>
        </w:tc>
        <w:tc>
          <w:tcPr>
            <w:tcW w:w="700" w:type="dxa"/>
            <w:vAlign w:val="bottom"/>
            <w:gridSpan w:val="2"/>
            <w:shd w:val="clear" w:color="auto" w:fill="CCFFCC"/>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470,980</w:t>
            </w:r>
          </w:p>
        </w:tc>
        <w:tc>
          <w:tcPr>
            <w:tcW w:w="2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shd w:val="clear" w:color="auto" w:fill="CCFFCC"/>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0"/>
        </w:trPr>
        <w:tc>
          <w:tcPr>
            <w:tcW w:w="49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-25400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Cloud Subscriptions, Maintenance and Services</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Cost of cloud subscriptions, maintenance and services consists primarily of salaries and other personnel-related expenses of employees dedicated to cloud subscriptions; maintenance services related to perpetual software licenses; and professional and technical services as well as hosting fees. The $1.7 million increase in 2025 compared to 2024 was principally due to a $10.6 million increase in computer infrastructure cost, partially offset by a $5.5 million decrease in compensation and other personnel-related expenses, a $2.5 million decrease in performance-based compensation expense, and a $0.8 million decrease in travel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Software License</w:t>
      </w:r>
    </w:p>
    <w:p>
      <w:pPr>
        <w:spacing w:after="0" w:line="121"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Cost of software license consists of the costs associated with software reproduction; media, packaging and delivery; documentation, and other related costs; and royalties on third-party software sold with or as part of our products. In 2025, cost of license decreased $0.4 million, compared to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32"/>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40" w:type="dxa"/>
            <w:vAlign w:val="bottom"/>
            <w:tcBorders>
              <w:bottom w:val="single" w:sz="8" w:color="auto"/>
            </w:tcBorders>
          </w:tcPr>
          <w:p>
            <w:pPr>
              <w:spacing w:after="0"/>
              <w:rPr>
                <w:sz w:val="24"/>
                <w:szCs w:val="24"/>
                <w:color w:val="auto"/>
              </w:rPr>
            </w:pPr>
          </w:p>
        </w:tc>
      </w:tr>
      <w:tr>
        <w:trPr>
          <w:trHeight w:val="210"/>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42"/>
        </w:trPr>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16"/>
        </w:trPr>
        <w:tc>
          <w:tcPr>
            <w:tcW w:w="4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gridSpan w:val="2"/>
            <w:shd w:val="clear" w:color="auto" w:fill="CCFFCC"/>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145,062</w:t>
            </w:r>
          </w:p>
        </w:tc>
        <w:tc>
          <w:tcPr>
            <w:tcW w:w="840" w:type="dxa"/>
            <w:vAlign w:val="bottom"/>
            <w:gridSpan w:val="2"/>
            <w:shd w:val="clear" w:color="auto" w:fill="CCFFC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360" w:type="dxa"/>
            <w:vAlign w:val="bottom"/>
            <w:shd w:val="clear" w:color="auto" w:fill="CCFFCC"/>
          </w:tcPr>
          <w:p>
            <w:pPr>
              <w:spacing w:after="0"/>
              <w:rPr>
                <w:sz w:val="18"/>
                <w:szCs w:val="18"/>
                <w:color w:val="auto"/>
              </w:rPr>
            </w:pPr>
          </w:p>
        </w:tc>
        <w:tc>
          <w:tcPr>
            <w:tcW w:w="19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81,175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75,976</w:t>
            </w:r>
          </w:p>
        </w:tc>
        <w:tc>
          <w:tcPr>
            <w:tcW w:w="3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r>
      <w:tr>
        <w:trPr>
          <w:trHeight w:val="216"/>
        </w:trPr>
        <w:tc>
          <w:tcPr>
            <w:tcW w:w="4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93,762</w:t>
            </w:r>
          </w:p>
        </w:tc>
        <w:tc>
          <w:tcPr>
            <w:tcW w:w="3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89,810</w:t>
            </w:r>
          </w:p>
        </w:tc>
        <w:tc>
          <w:tcPr>
            <w:tcW w:w="360" w:type="dxa"/>
            <w:vAlign w:val="bottom"/>
            <w:shd w:val="clear" w:color="auto" w:fill="CCFFCC"/>
          </w:tcPr>
          <w:p>
            <w:pPr>
              <w:spacing w:after="0"/>
              <w:rPr>
                <w:sz w:val="18"/>
                <w:szCs w:val="18"/>
                <w:color w:val="auto"/>
              </w:rPr>
            </w:pPr>
          </w:p>
        </w:tc>
        <w:tc>
          <w:tcPr>
            <w:tcW w:w="194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6,317</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3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w:t>
            </w:r>
          </w:p>
        </w:tc>
      </w:tr>
      <w:tr>
        <w:trPr>
          <w:trHeight w:val="216"/>
        </w:trPr>
        <w:tc>
          <w:tcPr>
            <w:tcW w:w="49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0" w:type="dxa"/>
            <w:vAlign w:val="bottom"/>
            <w:tcBorders>
              <w:bottom w:val="single" w:sz="8" w:color="CCFFCC"/>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36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FFCC"/>
            </w:tcBorders>
            <w:shd w:val="clear" w:color="auto" w:fill="CCFFCC"/>
          </w:tcPr>
          <w:p>
            <w:pPr>
              <w:spacing w:after="0"/>
              <w:rPr>
                <w:sz w:val="18"/>
                <w:szCs w:val="18"/>
                <w:color w:val="auto"/>
              </w:rPr>
            </w:pPr>
          </w:p>
        </w:tc>
        <w:tc>
          <w:tcPr>
            <w:tcW w:w="1940" w:type="dxa"/>
            <w:vAlign w:val="bottom"/>
            <w:tcBorders>
              <w:bottom w:val="single" w:sz="8" w:color="auto"/>
            </w:tcBorders>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w:t>
            </w: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329,253</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309,776</w:t>
            </w:r>
          </w:p>
        </w:tc>
        <w:tc>
          <w:tcPr>
            <w:tcW w:w="3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Our principal research and development (R&amp;D) activities during 2025 and 2024 focused on the expansion and integration of new products and releases, including cloud solutions, while expanding the product footprint of our Unified Omnichannel Commerce and Digital Supply Chain solutions, including Inventory Optimization and point-of-sale.</w:t>
      </w:r>
    </w:p>
    <w:p>
      <w:pPr>
        <w:spacing w:after="0" w:line="68" w:lineRule="exact"/>
        <w:rPr>
          <w:sz w:val="20"/>
          <w:szCs w:val="20"/>
          <w:color w:val="auto"/>
        </w:rPr>
      </w:pPr>
    </w:p>
    <w:p>
      <w:pPr>
        <w:ind w:right="600" w:firstLine="255"/>
        <w:spacing w:after="0" w:line="282" w:lineRule="auto"/>
        <w:rPr>
          <w:sz w:val="20"/>
          <w:szCs w:val="20"/>
          <w:color w:val="auto"/>
        </w:rPr>
      </w:pPr>
      <w:r>
        <w:rPr>
          <w:rFonts w:ascii="Times New Roman" w:cs="Times New Roman" w:eastAsia="Times New Roman" w:hAnsi="Times New Roman"/>
          <w:sz w:val="18"/>
          <w:szCs w:val="18"/>
          <w:color w:val="auto"/>
        </w:rPr>
        <w:t>For 2025 and 2024, we did not capitalize any R&amp;D costs as the period between determining technological feasibility was established or that it is probable the software product would be used to perform the function intended were insignificant.</w:t>
      </w:r>
    </w:p>
    <w:p>
      <w:pPr>
        <w:spacing w:after="0" w:line="54" w:lineRule="exact"/>
        <w:rPr>
          <w:sz w:val="20"/>
          <w:szCs w:val="20"/>
          <w:color w:val="auto"/>
        </w:rPr>
      </w:pPr>
    </w:p>
    <w:p>
      <w:pPr>
        <w:ind w:right="400" w:firstLine="255"/>
        <w:spacing w:after="0" w:line="266" w:lineRule="auto"/>
        <w:rPr>
          <w:sz w:val="20"/>
          <w:szCs w:val="20"/>
          <w:color w:val="auto"/>
        </w:rPr>
      </w:pPr>
      <w:r>
        <w:rPr>
          <w:rFonts w:ascii="Times New Roman" w:cs="Times New Roman" w:eastAsia="Times New Roman" w:hAnsi="Times New Roman"/>
          <w:sz w:val="18"/>
          <w:szCs w:val="18"/>
          <w:color w:val="auto"/>
        </w:rPr>
        <w:t>R&amp;D expenses primarily consist of salaries and other personnel-related costs for personnel involved in our research and development activities. Research and development expenses in 2025 increased by $7.4 million compared to 2024. This increase is principally due to a $7.4 million increase in compensation and other personnel-related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Sales and marketing expenses include salaries, commissions, travel and other personnel-related costs and the costs of our marketing and alliance programs and related activities. Sales and marketing expenses increased by $5.2 million in 2025 compared to 2024, primarily due to a $2.6 million increase in compensation and other personnel-related expense, a $1.1 million increase in marketing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campaign expenses, a $0.9 million increase in performance-based compensation expense, and a $0.3 million increase in travel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320" w:firstLine="255"/>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personnel-related costs of executive, financial, human resources, information technology, and administrative personnel, as well as facilities, legal, insurance, accounting, and other administrative expenses. General and administrative expenses increased $4.0 million in 2025 due to a $3.0 million signing bonus, $0.8 million in recruiting fees, and $6.5 million of stock compensation expense related to the hiring of our new chief executive officer; a $5.4 million increase in compensation and other personnel-related expenses, a $1.5 million increase in professional expense, and a $0.8 million increase in office expense, partially offset by a $13.8 million decrease in expense related to an unusual health insurance claim as the final payment was much lower than the cost estimates previously provided by our health insurance provider.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intangibles and software expense amounted to $6.3 million in 2025 and 2024, respectively. Amortization of intangibles was immaterial in 2025 and 2024. We have recorded acquisition-related intangible assets as part of the purchase accounting associated with various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12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In January 2025, the Company eliminated approximately 100 positions to align our services capacity with customer demand which has been impacted by short-term macro-economic uncertainty. The Company recorded restructuring expense of approximately $2.9 million for the year ended December 31, 2025 to the Americas segment. The expense primarily consists of employee severance and outplacement services. The expense is classified in “Restructuring expense” in the Company’s Consolidated Statements of Income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jc w:val="both"/>
        <w:ind w:right="320" w:firstLine="255"/>
        <w:spacing w:after="0" w:line="266" w:lineRule="auto"/>
        <w:rPr>
          <w:sz w:val="20"/>
          <w:szCs w:val="20"/>
          <w:color w:val="auto"/>
        </w:rPr>
      </w:pPr>
      <w:r>
        <w:rPr>
          <w:rFonts w:ascii="Times New Roman" w:cs="Times New Roman" w:eastAsia="Times New Roman" w:hAnsi="Times New Roman"/>
          <w:sz w:val="18"/>
          <w:szCs w:val="18"/>
          <w:color w:val="auto"/>
        </w:rPr>
        <w:t>Operating income in 2025 increased $18.2 million to $279.8 million, compared to $261.6 million for 2024. Operating margins were 25.9% for 2025 versus 25.1% for 2024. Operating income and margin increased primarily due to increased cloud subscriptions. In 2025, operating income increased by $0.2 million, $15.6 million, and $2.4 million in the Americas, EMEA and APAC segment,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and Income Taxes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20" w:type="dxa"/>
            <w:vAlign w:val="bottom"/>
            <w:tcBorders>
              <w:bottom w:val="single" w:sz="8" w:color="auto"/>
            </w:tcBorders>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gridSpan w:val="2"/>
            <w:shd w:val="clear" w:color="auto" w:fill="CCFFCC"/>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6,094</w:t>
            </w:r>
          </w:p>
        </w:tc>
        <w:tc>
          <w:tcPr>
            <w:tcW w:w="900" w:type="dxa"/>
            <w:vAlign w:val="bottom"/>
            <w:gridSpan w:val="2"/>
            <w:shd w:val="clear" w:color="auto" w:fill="CCFFC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400" w:type="dxa"/>
            <w:vAlign w:val="bottom"/>
            <w:shd w:val="clear" w:color="auto" w:fill="CCFFCC"/>
          </w:tcPr>
          <w:p>
            <w:pPr>
              <w:spacing w:after="0"/>
              <w:rPr>
                <w:sz w:val="18"/>
                <w:szCs w:val="18"/>
                <w:color w:val="auto"/>
              </w:rPr>
            </w:pPr>
          </w:p>
        </w:tc>
        <w:tc>
          <w:tcPr>
            <w:tcW w:w="21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w:t>
            </w: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65,946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4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36%</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 net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(loss) income, net primarily includes interest income, foreign currency gains and losses, and other non-operating expenses. Interest income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million and $6.0 million for 2025 and 2024, respectively. The weighted-average interest rate earned on cash and investments was approximately 1%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approximately 2% in 2024. We recorded net foreign currency gains of $1.7 million in 2025 and losses of $1.0 million in 2024. The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gains and losses mainly resulted from gains or losses on intercompany transactions denominated in foreign currencies with subsidiaries due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 of the U.S. dollar relative to other foreign currencies, primarily the British Pound Sterling, Euro, and Indian Rupee.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Our effective income tax rates were 23.1% and 18.2% in 2025 and 2024, respectively. Our effective income tax rate takes into account the source of taxable income, domestically by state and internationally by country, and available income tax credits.</w:t>
      </w:r>
    </w:p>
    <w:p>
      <w:pPr>
        <w:spacing w:after="0" w:line="54"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effective tax rate in 2025 increased from 2024 mainly due to a decrease of excess tax benefits on restricted stock vesting in 2025, an increase in executive compensation limitations, and an increase in tax contingency reserves.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income tax provision for 2025 and 2024 included excess tax benefits of $6.1 million and $13.1 million on vesting of restricted stock.</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During 2025 and 2024, we funded our business through cash generated from operations. Our cash and cash equivalents as of December 31, 2025 included $226.6 million held in the U.S. and $102.1 million held by our foreign subsidiaries. We believe that our cash balances in the U.S. are sufficient to fund our U.S. operations. In the future, if we elect to repatriate the unremitted earnings of our foreign subsidiaries, we would no longer be subject to additional U.S. income taxes on such earnings due to the enactment of the Tax Cuts and Jobs Act in December 2017, but we could be subject to additional local withholding taxes.</w:t>
      </w:r>
    </w:p>
    <w:p>
      <w:pPr>
        <w:spacing w:after="0" w:line="75"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Cash flow from operating activities totaled $389.5 million and $295.0 million in 2025 and 2024, respectively. Typical factors affecting our cash provided by operating activities include our level of revenue and earnings for the period, the timing and amount of employee bonus and income tax payments, and the timing of cash collections from our customers which is our primary source of operating cash flow. Cash flow from operating activities for 2025 increased $94.5 million compared to 2024 due to the timing of cash collections from our customers and decrease in cash taxes owed from the acceleration of the deduction for domestic research and development expenditures. Days sales outstanding was 73 and 74 for quarter ending December 2025 and 2024, respectively, reflecting solid cash collections.</w:t>
      </w:r>
    </w:p>
    <w:p>
      <w:pPr>
        <w:spacing w:after="0" w:line="7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Investing activities used cash of $15.5 million and $8.7 million in 2025 and 2024, respectively. Our investing activities for 2025 and 2024 consisted of capital spending to support company growth and short-term investing.</w:t>
      </w:r>
    </w:p>
    <w:p>
      <w:pPr>
        <w:spacing w:after="0" w:line="54"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Financing activities used cash of $315.2 million and $286.4 million in 2025 and 2024, respectively. The principal use of cash for financing activities in 2025 and 2024 was to purchase our common stock, including shares withheld for taxes due upon vesting of restricted stock and excise tax payments. Repurchases of our common stock for 2025 and 2024 totaled $315.2 million and $286.4 million, respectively, including shares withheld for taxes of $39.0 million and $43.6 million, respectively. Excise tax payments totaled $1.6 million and $1.1 million in 2025 and 2024, respectively. In January 2026, our Board of Directors replenished the Company’s share repurchase authority to an aggregate of $100.0 million of our common stock.</w:t>
      </w:r>
    </w:p>
    <w:p>
      <w:pPr>
        <w:spacing w:after="0" w:line="7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will be sufficient to meet our working capital and capital expenditure needs at least for the next twelve months, although there can be no assurance that this will be the case. In 2026, we anticipate that our priorities for use of cash will be similar to prior years, with our first priority being continued investment in product development and in our business to extend our market leadership. We will also continue to weigh our share repurchase options against cash for acquisitions and investing in the business. At this time, we do not anticipate any borrowing requirements in 2026 for general corporate purposes.</w:t>
      </w:r>
    </w:p>
    <w:p>
      <w:pPr>
        <w:spacing w:after="0" w:line="75"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Periodically, opportunities may arise to grow our business through the acquisition of complementary products and technologies. Any material acquisition could result in a decrease to our working capital depending on the amount, timing, and nature of the consideration to be paid. We expect to continue to evaluate acquisition opportunities that are complementary to our product footprint and technology direction.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Our principal commitments as of December 31, 2025 consist of multiple non-cancellable contracts for cloud infrastructure services and obligations under operating leases. As of December 31, 2025, our cloud infrastructure contractual obligations are approximately $202.7 million over the next 5 years. We also enter into non-cancellable subscriptions in the ordinary course of business for internal software to support our operations. Our contractual obligations, as of December 31, 2025, are approximately $37.0 million over the next 7 years. We expect to fulfill all of these commitments from our working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We lease our facilities and some of our equipment under noncancelable operating lease arrangements that expire at various dates ranging from 2025 to 2036. Rent expense for these leases aggregated $10.1 million and $9.3 million during 2025 and 2024, respectively.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following table, we present a summary of our contractual commitments as of December 31, 2025 (in thousands):</w:t>
      </w:r>
    </w:p>
    <w:p>
      <w:pPr>
        <w:spacing w:after="0" w:line="243"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Pr>
          <w:p>
            <w:pPr>
              <w:spacing w:after="0"/>
              <w:rPr>
                <w:sz w:val="18"/>
                <w:szCs w:val="18"/>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358"/>
        </w:trPr>
        <w:tc>
          <w:tcPr>
            <w:tcW w:w="20" w:type="dxa"/>
            <w:vAlign w:val="bottom"/>
          </w:tcPr>
          <w:p>
            <w:pPr>
              <w:spacing w:after="0"/>
              <w:rPr>
                <w:sz w:val="24"/>
                <w:szCs w:val="24"/>
                <w:color w:val="auto"/>
              </w:rPr>
            </w:pPr>
          </w:p>
        </w:tc>
        <w:tc>
          <w:tcPr>
            <w:tcW w:w="25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780" w:type="dxa"/>
            <w:vAlign w:val="bottom"/>
            <w:tcBorders>
              <w:right w:val="single" w:sz="8" w:color="auto"/>
            </w:tcBorders>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$85,010</w:t>
            </w:r>
          </w:p>
        </w:tc>
        <w:tc>
          <w:tcPr>
            <w:tcW w:w="8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940" w:type="dxa"/>
            <w:vAlign w:val="bottom"/>
            <w:gridSpan w:val="2"/>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w w:val="95"/>
              </w:rPr>
              <w:t>$11,296</w:t>
            </w:r>
          </w:p>
        </w:tc>
        <w:tc>
          <w:tcPr>
            <w:tcW w:w="92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w w:val="99"/>
              </w:rPr>
              <w:t>$10,843</w:t>
            </w: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8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$37,103</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Our customer contracts generally contain infringement indemnity provisions. Under those provisions, we generally agree, subject to certain exceptions, to indemnify, defend, and hold harmless the customer in connection with third party claims against the customer alleging that the customer’s use of our services and products infringe third party intellectual property rights. Conditions to our obligations generally include that we are provided the right to control the defense of the claims and, in general, to control settlement negotiations. Those provisions generally provide also that, if the customer is prevented from using our services or products because of</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t>a third party infringement claim, our sole obligation (in addition to the indemnification, defense, and hold harmless obligation referred to above) is to, at our expense, (i) procure for the customer the right to continue to use the services or products, (ii) replace or modify the services or products so that the customer’s use does not infringe, or, if neither of these options is reasonably feasible, (iii) terminate that particular services or products and provide, as applicable, a refund of services fees paid for services not received or a refund of the unamortized portion of the license fees paid for the products (based on a five year amortization period). Our customer contracts sometimes also require us to indemnify, defend, and hold harmless the customer in connection with death, personal injury or property damage claims made by third parties with respect to actions of our personnel or contractors. The indemnity obligations contained in our customer contracts generally have no specified expiration date and no specified monetary limitation on liability, but they do not cover indirect or consequential damages, such as our customers’ lost revenues or profits. We have not previously incurred costs to settle claims or pay awards under these indemnification obligations. We account for these indemnity obligations in accordance with the Financial Accounting Standards Board's guidance on accounting for contingencies and record a liability for these obligations when a loss is probable and reasonably estimable. We have not recorded any liabilities for these indemnification obligations as of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119" w:lineRule="exact"/>
        <w:rPr>
          <w:sz w:val="20"/>
          <w:szCs w:val="20"/>
          <w:color w:val="auto"/>
        </w:rPr>
      </w:pPr>
    </w:p>
    <w:p>
      <w:pPr>
        <w:ind w:right="140" w:firstLine="281"/>
        <w:spacing w:after="0" w:line="254" w:lineRule="auto"/>
        <w:rPr>
          <w:sz w:val="20"/>
          <w:szCs w:val="20"/>
          <w:color w:val="auto"/>
        </w:rPr>
      </w:pPr>
      <w:r>
        <w:rPr>
          <w:rFonts w:ascii="Times New Roman" w:cs="Times New Roman" w:eastAsia="Times New Roman" w:hAnsi="Times New Roman"/>
          <w:sz w:val="18"/>
          <w:szCs w:val="18"/>
          <w:color w:val="auto"/>
        </w:rPr>
        <w:t>In general, in our customer contracts for purchase of our cloud SaaS services or license of our on-premises software products, we warrant that our services or software will perform in accordance with our published services or product specifications. Additionally, we may include other warranties such as “no-malware” warranties and warranties that we will perform our SaaS services consistent with generally accepted industry standards or similar standards. In our SaaS services agreements, we also include service level agreements (SLAs) under which we agree to provide service credits to our customers if our services availability drops below certain defined levels. If necessary, we would reserve for the estimated cost of product and service warranties based on specific warranty claims and claims history. However, we have not incurred significant recurring expense under our services or product warranties. As a result, we believe the estimated fair value of our warranty obligations is nominal, and we have no liabilities recorded for them as of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121"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The SEC defines “critical accounting policies” as those that require application of management’s most difficult, subjective, or complex judgments, often as a result of the need to make estimates about the effect of matters that are inherently uncertain and may change in subsequent periods.</w:t>
      </w:r>
    </w:p>
    <w:p>
      <w:pPr>
        <w:spacing w:after="0" w:line="54"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financial statements in conformity with GAAP requires us to make estimates and assumptions in certain circumstances that affect amounts reported in the accompanying consolidated financial statements and related footnotes. We believe that the estimates, judgments, and assumptions upon which we rely are reasonable based on information available to us at the time that these estimates, judgments, and assumptions are made. To the extent there are material differences between those estimates, judgments, or assumptions and actual results, our financial statements will be affected. The accounting policy that reflect our more significant estimates, judgments, and assumptions is Revenue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21"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We recognize revenue when we transfer control of the promised products or services to our customers, in an amount that reflects the consideration we expect to be entitled to in exchange for those products or services. We derive our revenue mainly from cloud subscriptions, customer support services, and software enhancements (“maintenance”), and professional services. We exclude sales and usage-based taxes from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119"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Cloud subscriptions include software as a service (“SaaS”) and hosting arrangements which provide customers with the right to use our software within a cloud environment that we provide and manage where the customer does not have the right to take possession of the software without significant penalty. SaaS and hosting revenues are recognized over the contract period as the service is provided.</w:t>
      </w:r>
    </w:p>
    <w:p>
      <w:pPr>
        <w:spacing w:after="0" w:line="68" w:lineRule="exact"/>
        <w:rPr>
          <w:sz w:val="20"/>
          <w:szCs w:val="20"/>
          <w:color w:val="auto"/>
        </w:rPr>
      </w:pPr>
    </w:p>
    <w:p>
      <w:pPr>
        <w:ind w:right="160" w:firstLine="255"/>
        <w:spacing w:after="0" w:line="255" w:lineRule="auto"/>
        <w:rPr>
          <w:sz w:val="20"/>
          <w:szCs w:val="20"/>
          <w:color w:val="auto"/>
        </w:rPr>
      </w:pPr>
      <w:r>
        <w:rPr>
          <w:rFonts w:ascii="Times New Roman" w:cs="Times New Roman" w:eastAsia="Times New Roman" w:hAnsi="Times New Roman"/>
          <w:sz w:val="18"/>
          <w:szCs w:val="18"/>
          <w:color w:val="auto"/>
        </w:rPr>
        <w:t>Our services revenue consists of fees generated from implementation, training and application managed services, including reimbursements of out-of-pocket expenses in connection with our implementation services. Implementation services include system planning, design, configuration, testing, and other software implementation support, and are typically optional and distinct from our software. Following implementation, customers may purchase application managed services to support and maintain our software. Fees for our services are separately priced and are generally billed on an hourly basis, and revenue is recognized over time as the services are performed. In certain situations, we render professional services under agreements based upon a fixed fee for portions of or all of the engagement. Revenue related to fixed-fee-based services contracts is recognized over time based on the proportion performed.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Our cloud contracts with customers can include the sales of SaaS and services. We allocate the transaction price to the distinct performance obligations based on relative standalone selling price ("SSP"). We estimate SSP based on the prices charged to customers, or by using other observable inputs. The selling price of our cloud subscriptions are highly variable. Thus, we estimate SSP for our cloud subscriptions using the residual approach, determined based on total transaction price less the SSP of other goods and services promised in the contract.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Business</w:t>
      </w:r>
    </w:p>
    <w:p>
      <w:pPr>
        <w:spacing w:after="0" w:line="121"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Our international business is subject to risks typical of an international business, including, but not limited to differing economic conditions, changes in political climate, differing tax structures, other regulations and restrictions, and foreign exchange rate volatility. Our international operations currently include business activity out of offices in the Australia, Chile, China, France, Germany, India, Italy, Japan, the Netherlands, Singapore, Spain, and the United Kingdom. When the U.S. dollar strengthens against a foreign currency, the value of our sales and expenses in that currency converted to U.S. dollars decreases. When the U.S. dollar weakens, the value of our sales and expenses in that currency converted to U.S. dollars increases. We recognized foreign exchange losses of $1.7 million in 2025, compared to losses of $1.0 million in 2024, and losses of $1.5 million in 2023. Foreign exchange rate transaction gains and losses are classified in “Other (loss) income, net” in our Consolidated Statements of Income. A fluctuation of 10% in the period end exchange rates at December 31, 2025 relative to the U.S. dollar would have resulted in a change of approximately $5.9 million in the reported foreign currency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currently invest our cash and cash equivalents in a variety of financial instruments, including taxable floating rate obligations in money market funds and certificate of deposits with original maturities of less than three months when purchased. These investments are mainly denominated in U.S. dollars. Cash balances in foreign currencies overseas, except for India, are derived from business operations. Our operations in India are funded by the U.S. operations. At December 31, 2025, our cash and cash equivalents balances totaled $328.7 million, of which all is highly liquid.</w:t>
      </w:r>
    </w:p>
    <w:p>
      <w:pPr>
        <w:spacing w:after="0" w:line="18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Investments in both fixed rate and floating rate interest-earning instruments carry interest rate risks. Fixed rate securities may have their fair market value adversely impacted due to a rise in interest rates, while floating rate securities may produce less income than expected if interest rates fall. Due in part to these factors, our future investment income may fall short of expectations due to changes in interest rates, or we may suffer losses in principal if forced to sell securities that have seen a decline in market value due to changes in interest rates. The weighted-average interest rate of return on cash equivalents and short-term investments was approximately 1% and 2% for the years ended December 31, 2025 and 2024, respectively. The fair value of cash equivalents held at December 31, 2025 and 2024 was $72.6 million and $93.8 million, respectively. Based on the average cash equivalents and short-term investments outstanding during 2025 and 2024, increases or decreases in the rates of return of 25 basis points would result in increases or decreases to interest income of approximately $0.7 million and $0.7 million from the reported interest income for 2025 and 2024, respectively.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8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rPr>
              <w:t>Management’s Annual Report on Internal Control over Financial Reporting</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0" w:type="dxa"/>
            <w:vAlign w:val="bottom"/>
            <w:gridSpan w:val="11"/>
            <w:vMerge w:val="continue"/>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on Internal Control over Financial Reporting </w:t>
            </w:r>
            <w:r>
              <w:rPr>
                <w:rFonts w:ascii="Times New Roman" w:cs="Times New Roman" w:eastAsia="Times New Roman" w:hAnsi="Times New Roman"/>
                <w:sz w:val="18"/>
                <w:szCs w:val="18"/>
                <w:color w:val="000000"/>
              </w:rPr>
              <w:t>(PCAOB ID 42)</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the Consolidated Financial Statements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6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Manhattan Associates, Inc. is responsible for establishing and maintaining adequate internal control over financial reporting. The Company’s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Company’s 2025 fiscal year, management conducted an assessment of the Company’s internal control over financial reporting based on the framework established in Internal Control—Integrated Framework issued by the Committee of Sponsoring Organizations of the Treadway Commission (2013 Framework) (COSO). Based on this assessment, management has determined that the Company’s internal control over financial reporting as of December 31, 2025 was effective.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Company’s financial statements for the year ended December 31, 2025, has audited the Company’s internal control over financial reporting as of December 31, 2025 and has issued a report regarding the Company’s internal control over financial reporting appearing on page 43, which expresses an unqualified opinion on the effectiveness of the Company’s internal control over financial reporting as of December 31, 2025.</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Eric A. Clark</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4, 2026</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Dennis B. Story</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Treasurer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4,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Manhattan Associates,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Manhattan Associates,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Manhattan Associates, Inc. and subsidiaries (the Company) maintained, in all material respects, effective internal control over financial reporting as of December 31, 2025, based on the COSO criteria.</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cash flows and shareholders’ equity for each of the three years in the period ended December 31, 2025, and the related notes and our report dated February 4,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Manhattan Associates,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Manhattan Associates, Inc. and subsidiaries (the Company) as of December 31, 2025 and 2024, the related consolidated statements of income, comprehensive income, cash flows and shareholders’ equity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4,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on the account or disclosure to which it relates.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Identification of Performance Obligations</w:t>
            </w: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recognizes revenue upon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control of promised products and services to customers in an amount that reflects the consideration</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expects to be entitled to in exchange for those products or services.</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enters into contracts with its customers that may include promises to transfer software as a</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offering and professional services. The correct identification of performance obligations for customer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contracts which include multiple performance obligations has a significant impact upon the timing and pattern</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revenue recognition.</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Auditing management’s identification of the performance obligations for these customer contracts was</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challenging due to the extent of effort required.</w:t>
            </w:r>
          </w:p>
        </w:tc>
        <w:tc>
          <w:tcPr>
            <w:tcW w:w="0" w:type="dxa"/>
            <w:vAlign w:val="bottom"/>
          </w:tcPr>
          <w:p>
            <w:pPr>
              <w:spacing w:after="0"/>
              <w:rPr>
                <w:sz w:val="1"/>
                <w:szCs w:val="1"/>
                <w:color w:val="auto"/>
              </w:rPr>
            </w:pPr>
          </w:p>
        </w:tc>
      </w:tr>
      <w:tr>
        <w:trPr>
          <w:trHeight w:val="439"/>
        </w:trPr>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w:t>
            </w:r>
          </w:p>
        </w:tc>
        <w:tc>
          <w:tcPr>
            <w:tcW w:w="0" w:type="dxa"/>
            <w:vAlign w:val="bottom"/>
          </w:tcPr>
          <w:p>
            <w:pPr>
              <w:spacing w:after="0"/>
              <w:rPr>
                <w:sz w:val="1"/>
                <w:szCs w:val="1"/>
                <w:color w:val="auto"/>
              </w:rPr>
            </w:pPr>
          </w:p>
        </w:tc>
      </w:tr>
      <w:tr>
        <w:trPr>
          <w:trHeight w:val="236"/>
        </w:trPr>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Company's identification of the performance obligations in a customer contract.</w:t>
            </w:r>
          </w:p>
        </w:tc>
        <w:tc>
          <w:tcPr>
            <w:tcW w:w="0" w:type="dxa"/>
            <w:vAlign w:val="bottom"/>
          </w:tcPr>
          <w:p>
            <w:pPr>
              <w:spacing w:after="0"/>
              <w:rPr>
                <w:sz w:val="1"/>
                <w:szCs w:val="1"/>
                <w:color w:val="auto"/>
              </w:rPr>
            </w:pPr>
          </w:p>
        </w:tc>
      </w:tr>
      <w:tr>
        <w:trPr>
          <w:trHeight w:val="540"/>
        </w:trPr>
        <w:tc>
          <w:tcPr>
            <w:tcW w:w="2140" w:type="dxa"/>
            <w:vAlign w:val="bottom"/>
          </w:tcPr>
          <w:p>
            <w:pPr>
              <w:spacing w:after="0"/>
              <w:rPr>
                <w:sz w:val="24"/>
                <w:szCs w:val="24"/>
                <w:color w:val="auto"/>
              </w:rPr>
            </w:pPr>
          </w:p>
        </w:tc>
        <w:tc>
          <w:tcPr>
            <w:tcW w:w="91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ind w:left="2340"/>
        <w:spacing w:after="0" w:line="282" w:lineRule="auto"/>
        <w:rPr>
          <w:sz w:val="20"/>
          <w:szCs w:val="20"/>
          <w:color w:val="auto"/>
        </w:rPr>
      </w:pPr>
      <w:r>
        <w:rPr>
          <w:rFonts w:ascii="Times New Roman" w:cs="Times New Roman" w:eastAsia="Times New Roman" w:hAnsi="Times New Roman"/>
          <w:sz w:val="18"/>
          <w:szCs w:val="18"/>
          <w:color w:val="auto"/>
        </w:rPr>
        <w:t>Our audit procedures included, among others, reading a sample of executed contracts to assess management’s evaluation of significant terms including the identification of the performance obligations.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985" w:right="1339" w:bottom="1440" w:gutter="0" w:footer="0" w:header="0"/>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4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Cloud subscriptions</w:t>
            </w:r>
          </w:p>
        </w:tc>
        <w:tc>
          <w:tcPr>
            <w:tcW w:w="160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408,138</w:t>
            </w:r>
          </w:p>
        </w:tc>
        <w:tc>
          <w:tcPr>
            <w:tcW w:w="540" w:type="dxa"/>
            <w:vAlign w:val="bottom"/>
            <w:gridSpan w:val="2"/>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14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254,612</w:t>
            </w: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license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00" w:type="dxa"/>
            <w:vAlign w:val="bottom"/>
          </w:tcPr>
          <w:p>
            <w:pPr>
              <w:spacing w:after="0"/>
              <w:rPr>
                <w:sz w:val="18"/>
                <w:szCs w:val="18"/>
                <w:color w:val="auto"/>
              </w:rPr>
            </w:pPr>
          </w:p>
        </w:tc>
      </w:tr>
      <w:tr>
        <w:trPr>
          <w:trHeight w:val="216"/>
        </w:trPr>
        <w:tc>
          <w:tcPr>
            <w:tcW w:w="53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129,972</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138,304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143,936</w:t>
            </w: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503,044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487,869</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Hardware</w:t>
            </w:r>
          </w:p>
        </w:tc>
        <w:tc>
          <w:tcPr>
            <w:tcW w:w="13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25,419</w:t>
            </w:r>
          </w:p>
        </w:tc>
        <w:tc>
          <w:tcPr>
            <w:tcW w:w="2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191"/>
        </w:trPr>
        <w:tc>
          <w:tcPr>
            <w:tcW w:w="53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1,081,392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1,042,352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928,725</w:t>
            </w:r>
          </w:p>
        </w:tc>
        <w:tc>
          <w:tcPr>
            <w:tcW w:w="100" w:type="dxa"/>
            <w:vAlign w:val="bottom"/>
          </w:tcPr>
          <w:p>
            <w:pPr>
              <w:spacing w:after="0"/>
              <w:rPr>
                <w:sz w:val="16"/>
                <w:szCs w:val="16"/>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471,405</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469,659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429,263</w:t>
            </w: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software license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8"/>
                <w:szCs w:val="18"/>
                <w:color w:val="auto"/>
              </w:rPr>
            </w:pPr>
          </w:p>
        </w:tc>
      </w:tr>
      <w:tr>
        <w:trPr>
          <w:trHeight w:val="216"/>
        </w:trPr>
        <w:tc>
          <w:tcPr>
            <w:tcW w:w="53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145,062</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137,689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126,814</w:t>
            </w: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74,490</w:t>
            </w:r>
          </w:p>
        </w:tc>
        <w:tc>
          <w:tcPr>
            <w:tcW w:w="100" w:type="dxa"/>
            <w:vAlign w:val="bottom"/>
          </w:tcPr>
          <w:p>
            <w:pPr>
              <w:spacing w:after="0"/>
              <w:rPr>
                <w:sz w:val="18"/>
                <w:szCs w:val="18"/>
                <w:color w:val="auto"/>
              </w:rPr>
            </w:pPr>
          </w:p>
        </w:tc>
      </w:tr>
      <w:tr>
        <w:trPr>
          <w:trHeight w:val="216"/>
        </w:trPr>
        <w:tc>
          <w:tcPr>
            <w:tcW w:w="53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93,762</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89,810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81,174</w:t>
            </w: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3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2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801,592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718,844</w:t>
            </w:r>
          </w:p>
        </w:tc>
        <w:tc>
          <w:tcPr>
            <w:tcW w:w="100" w:type="dxa"/>
            <w:vAlign w:val="bottom"/>
          </w:tcPr>
          <w:p>
            <w:pPr>
              <w:spacing w:after="0"/>
              <w:rPr>
                <w:sz w:val="18"/>
                <w:szCs w:val="18"/>
                <w:color w:val="auto"/>
              </w:rPr>
            </w:pPr>
          </w:p>
        </w:tc>
      </w:tr>
      <w:tr>
        <w:trPr>
          <w:trHeight w:val="210"/>
        </w:trPr>
        <w:tc>
          <w:tcPr>
            <w:tcW w:w="5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261,596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209,881</w:t>
            </w: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8"/>
                <w:szCs w:val="18"/>
                <w:color w:val="auto"/>
              </w:rPr>
            </w:pPr>
          </w:p>
        </w:tc>
      </w:tr>
      <w:tr>
        <w:trPr>
          <w:trHeight w:val="216"/>
        </w:trPr>
        <w:tc>
          <w:tcPr>
            <w:tcW w:w="53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Other income (loss), net</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(1,514)</w:t>
            </w:r>
          </w:p>
        </w:tc>
      </w:tr>
      <w:tr>
        <w:trPr>
          <w:trHeight w:val="210"/>
        </w:trPr>
        <w:tc>
          <w:tcPr>
            <w:tcW w:w="534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2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285,894</w:t>
            </w:r>
          </w:p>
        </w:tc>
        <w:tc>
          <w:tcPr>
            <w:tcW w:w="24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266,814</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213,671</w:t>
            </w:r>
          </w:p>
        </w:tc>
        <w:tc>
          <w:tcPr>
            <w:tcW w:w="100" w:type="dxa"/>
            <w:vAlign w:val="bottom"/>
            <w:tcBorders>
              <w:top w:val="single" w:sz="8" w:color="CCFFCC"/>
            </w:tcBorders>
          </w:tcPr>
          <w:p>
            <w:pPr>
              <w:spacing w:after="0"/>
              <w:rPr>
                <w:sz w:val="18"/>
                <w:szCs w:val="18"/>
                <w:color w:val="auto"/>
              </w:rPr>
            </w:pPr>
          </w:p>
        </w:tc>
      </w:tr>
      <w:tr>
        <w:trPr>
          <w:trHeight w:val="216"/>
        </w:trPr>
        <w:tc>
          <w:tcPr>
            <w:tcW w:w="5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65,946</w:t>
            </w:r>
          </w:p>
        </w:tc>
        <w:tc>
          <w:tcPr>
            <w:tcW w:w="2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37,103</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218,364</w:t>
            </w:r>
          </w:p>
        </w:tc>
        <w:tc>
          <w:tcPr>
            <w:tcW w:w="14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176,568</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32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24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197"/>
        </w:trPr>
        <w:tc>
          <w:tcPr>
            <w:tcW w:w="5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60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3.60</w:t>
            </w:r>
          </w:p>
        </w:tc>
        <w:tc>
          <w:tcPr>
            <w:tcW w:w="54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7"/>
                <w:szCs w:val="17"/>
                <w:color w:val="auto"/>
              </w:rPr>
            </w:pPr>
          </w:p>
        </w:tc>
        <w:tc>
          <w:tcPr>
            <w:tcW w:w="36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60,473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tcPr>
          <w:p>
            <w:pPr>
              <w:spacing w:after="0"/>
              <w:rPr>
                <w:sz w:val="18"/>
                <w:szCs w:val="18"/>
                <w:color w:val="auto"/>
              </w:rPr>
            </w:pPr>
          </w:p>
        </w:tc>
      </w:tr>
      <w:tr>
        <w:trPr>
          <w:trHeight w:val="216"/>
        </w:trPr>
        <w:tc>
          <w:tcPr>
            <w:tcW w:w="53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61,054</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62,183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62,608</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-3274060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-3274060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-2030730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-2030730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-1464945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-1464945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-1182370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-1182370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-736600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-719455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-736600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-719455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Income.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218,364</w:t>
            </w:r>
          </w:p>
        </w:tc>
        <w:tc>
          <w:tcPr>
            <w:tcW w:w="320" w:type="dxa"/>
            <w:vAlign w:val="bottom"/>
            <w:shd w:val="clear" w:color="auto" w:fill="CCFFC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176,568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6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219,940</w:t>
            </w:r>
          </w:p>
        </w:tc>
        <w:tc>
          <w:tcPr>
            <w:tcW w:w="320" w:type="dxa"/>
            <w:vAlign w:val="bottom"/>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214,480</w:t>
            </w:r>
          </w:p>
        </w:tc>
        <w:tc>
          <w:tcPr>
            <w:tcW w:w="320" w:type="dxa"/>
            <w:vAlign w:val="bottom"/>
            <w:shd w:val="clear" w:color="auto" w:fill="CCFFC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177,062</w:t>
            </w:r>
          </w:p>
        </w:tc>
      </w:tr>
      <w:tr>
        <w:trPr>
          <w:trHeight w:val="20"/>
        </w:trPr>
        <w:tc>
          <w:tcPr>
            <w:tcW w:w="61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-24765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Comprehensive Income.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7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27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80" w:type="dxa"/>
            <w:vAlign w:val="bottom"/>
            <w:shd w:val="clear" w:color="auto" w:fill="CCFFCC"/>
          </w:tcPr>
          <w:p>
            <w:pPr>
              <w:spacing w:after="0"/>
              <w:rPr>
                <w:sz w:val="18"/>
                <w:szCs w:val="18"/>
                <w:color w:val="auto"/>
              </w:rPr>
            </w:pPr>
          </w:p>
        </w:tc>
        <w:tc>
          <w:tcPr>
            <w:tcW w:w="5940" w:type="dxa"/>
            <w:vAlign w:val="bottom"/>
            <w:gridSpan w:val="2"/>
            <w:shd w:val="clear" w:color="auto" w:fill="CCFFCC"/>
          </w:tcPr>
          <w:p>
            <w:pPr>
              <w:jc w:val="right"/>
              <w:ind w:right="44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8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940" w:type="dxa"/>
            <w:vAlign w:val="bottom"/>
            <w:gridSpan w:val="2"/>
            <w:shd w:val="clear" w:color="auto" w:fill="CCFFCC"/>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328,747</w:t>
            </w:r>
          </w:p>
        </w:tc>
        <w:tc>
          <w:tcPr>
            <w:tcW w:w="620" w:type="dxa"/>
            <w:vAlign w:val="bottom"/>
            <w:gridSpan w:val="2"/>
            <w:shd w:val="clear" w:color="auto" w:fill="CCFFC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266,230</w:t>
            </w:r>
          </w:p>
        </w:tc>
      </w:tr>
      <w:tr>
        <w:trPr>
          <w:trHeight w:val="216"/>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214,679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205,475</w:t>
            </w:r>
          </w:p>
        </w:tc>
      </w:tr>
      <w:tr>
        <w:trPr>
          <w:trHeight w:val="216"/>
        </w:trPr>
        <w:tc>
          <w:tcPr>
            <w:tcW w:w="278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50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6,723</w:t>
            </w:r>
          </w:p>
        </w:tc>
        <w:tc>
          <w:tcPr>
            <w:tcW w:w="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5,194</w:t>
            </w:r>
          </w:p>
        </w:tc>
      </w:tr>
      <w:tr>
        <w:trPr>
          <w:trHeight w:val="216"/>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27,036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22,224</w:t>
            </w:r>
          </w:p>
        </w:tc>
      </w:tr>
      <w:tr>
        <w:trPr>
          <w:trHeight w:val="216"/>
        </w:trPr>
        <w:tc>
          <w:tcPr>
            <w:tcW w:w="2780" w:type="dxa"/>
            <w:vAlign w:val="bottom"/>
            <w:tcBorders>
              <w:bottom w:val="single" w:sz="8" w:color="CCFFCC"/>
            </w:tcBorders>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50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6,153</w:t>
            </w:r>
          </w:p>
        </w:tc>
        <w:tc>
          <w:tcPr>
            <w:tcW w:w="1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tcBorders>
              <w:bottom w:val="single" w:sz="8" w:color="CCFFCC"/>
            </w:tcBorders>
            <w:shd w:val="clear" w:color="auto" w:fill="CCFFCC"/>
          </w:tcPr>
          <w:p>
            <w:pPr>
              <w:spacing w:after="0"/>
              <w:rPr>
                <w:sz w:val="18"/>
                <w:szCs w:val="18"/>
                <w:color w:val="auto"/>
              </w:rPr>
            </w:pPr>
          </w:p>
        </w:tc>
      </w:tr>
      <w:tr>
        <w:trPr>
          <w:trHeight w:val="232"/>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5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583,338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23,120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13,971</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50,443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47,923</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62,244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62,226</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75,900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94,505</w:t>
            </w:r>
          </w:p>
        </w:tc>
      </w:t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44,343</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35,662</w:t>
            </w:r>
          </w:p>
        </w:tc>
      </w:tr>
      <w:tr>
        <w:trPr>
          <w:trHeight w:val="209"/>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839,388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757,551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-856615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-582295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-307975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460"/>
          </w:cols>
          <w:pgMar w:left="320" w:top="98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shd w:val="clear" w:color="auto" w:fill="CCFFCC"/>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gridSpan w:val="2"/>
            <w:shd w:val="clear" w:color="auto" w:fill="CCFFC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22,182</w:t>
            </w: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26,615</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69,309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72,180</w:t>
            </w:r>
          </w:p>
        </w:tc>
        <w:tc>
          <w:tcPr>
            <w:tcW w:w="0" w:type="dxa"/>
            <w:vAlign w:val="bottom"/>
          </w:tcPr>
          <w:p>
            <w:pPr>
              <w:spacing w:after="0"/>
              <w:rPr>
                <w:sz w:val="1"/>
                <w:szCs w:val="1"/>
                <w:color w:val="auto"/>
              </w:rPr>
            </w:pPr>
          </w:p>
        </w:tc>
      </w:tr>
      <w:tr>
        <w:trPr>
          <w:trHeight w:val="216"/>
        </w:trPr>
        <w:tc>
          <w:tcPr>
            <w:tcW w:w="75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26,570</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22,275</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337,049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277,970</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FFCC"/>
            </w:tcBorders>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Borders>
              <w:bottom w:val="single" w:sz="8" w:color="CCFFCC"/>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455,913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400,304</w:t>
            </w:r>
          </w:p>
        </w:tc>
        <w:tc>
          <w:tcPr>
            <w:tcW w:w="0" w:type="dxa"/>
            <w:vAlign w:val="bottom"/>
          </w:tcPr>
          <w:p>
            <w:pPr>
              <w:spacing w:after="0"/>
              <w:rPr>
                <w:sz w:val="1"/>
                <w:szCs w:val="1"/>
                <w:color w:val="auto"/>
              </w:rPr>
            </w:pPr>
          </w:p>
        </w:tc>
      </w:tr>
      <w:tr>
        <w:trPr>
          <w:trHeight w:val="194"/>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56,180</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47,794</w:t>
            </w:r>
          </w:p>
        </w:tc>
        <w:tc>
          <w:tcPr>
            <w:tcW w:w="0" w:type="dxa"/>
            <w:vAlign w:val="bottom"/>
          </w:tcPr>
          <w:p>
            <w:pPr>
              <w:spacing w:after="0"/>
              <w:rPr>
                <w:sz w:val="1"/>
                <w:szCs w:val="1"/>
                <w:color w:val="auto"/>
              </w:rPr>
            </w:pPr>
          </w:p>
        </w:tc>
      </w:t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12,530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194"/>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at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20" w:type="dxa"/>
            <w:vAlign w:val="bottom"/>
            <w:shd w:val="clear" w:color="auto" w:fill="CCFFCC"/>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$.01 par value; 200,000,000 shares authorized; 59,845,291 and 60,921,191 shares</w:t>
            </w:r>
          </w:p>
        </w:tc>
        <w:tc>
          <w:tcPr>
            <w:tcW w:w="2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180" w:type="dxa"/>
            <w:vAlign w:val="bottom"/>
            <w:gridSpan w:val="2"/>
            <w:vMerge w:val="restart"/>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598</w:t>
            </w: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issued and outstanding at December 31, 2025 and December 31, 2024, respectively</w:t>
            </w:r>
          </w:p>
        </w:tc>
        <w:tc>
          <w:tcPr>
            <w:tcW w:w="26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1180" w:type="dxa"/>
            <w:vAlign w:val="bottom"/>
            <w:gridSpan w:val="2"/>
            <w:vMerge w:val="continue"/>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345,097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329,439</w:t>
            </w:r>
          </w:p>
        </w:tc>
        <w:tc>
          <w:tcPr>
            <w:tcW w:w="0" w:type="dxa"/>
            <w:vAlign w:val="bottom"/>
          </w:tcPr>
          <w:p>
            <w:pPr>
              <w:spacing w:after="0"/>
              <w:rPr>
                <w:sz w:val="1"/>
                <w:szCs w:val="1"/>
                <w:color w:val="auto"/>
              </w:rPr>
            </w:pPr>
          </w:p>
        </w:tc>
      </w:tr>
      <w:tr>
        <w:trPr>
          <w:trHeight w:val="216"/>
        </w:trPr>
        <w:tc>
          <w:tcPr>
            <w:tcW w:w="752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(30,930)</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(30,922)</w:t>
            </w:r>
          </w:p>
        </w:tc>
        <w:tc>
          <w:tcPr>
            <w:tcW w:w="0" w:type="dxa"/>
            <w:vAlign w:val="bottom"/>
          </w:tcPr>
          <w:p>
            <w:pPr>
              <w:spacing w:after="0"/>
              <w:rPr>
                <w:sz w:val="1"/>
                <w:szCs w:val="1"/>
                <w:color w:val="auto"/>
              </w:rPr>
            </w:pPr>
          </w:p>
        </w:tc>
      </w:tr>
      <w:tr>
        <w:trPr>
          <w:trHeight w:val="209"/>
        </w:trPr>
        <w:tc>
          <w:tcPr>
            <w:tcW w:w="7520" w:type="dxa"/>
            <w:vAlign w:val="bottom"/>
            <w:tcBorders>
              <w:top w:val="single" w:sz="8" w:color="CCFFCC"/>
            </w:tcBorders>
          </w:tcPr>
          <w:p>
            <w:pPr>
              <w:ind w:left="4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CCFFC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314,765</w:t>
            </w: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299,126</w:t>
            </w: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60" w:type="dxa"/>
            <w:vAlign w:val="bottom"/>
            <w:gridSpan w:val="2"/>
            <w:shd w:val="clear" w:color="auto" w:fill="CCFFC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839,388</w:t>
            </w: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757,551</w:t>
            </w:r>
          </w:p>
        </w:tc>
        <w:tc>
          <w:tcPr>
            <w:tcW w:w="0" w:type="dxa"/>
            <w:vAlign w:val="bottom"/>
          </w:tcPr>
          <w:p>
            <w:pPr>
              <w:spacing w:after="0"/>
              <w:rPr>
                <w:sz w:val="1"/>
                <w:szCs w:val="1"/>
                <w:color w:val="auto"/>
              </w:rPr>
            </w:pPr>
          </w:p>
        </w:tc>
      </w:tr>
      <w:tr>
        <w:trPr>
          <w:trHeight w:val="20"/>
        </w:trPr>
        <w:tc>
          <w:tcPr>
            <w:tcW w:w="75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Balance Sheets.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425"/>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218,364</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176,568</w:t>
            </w: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6,317</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6,301</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5,752</w:t>
            </w:r>
          </w:p>
        </w:tc>
      </w:tr>
      <w:tr>
        <w:trPr>
          <w:trHeight w:val="21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111,263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93,206</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71,571</w:t>
            </w:r>
          </w:p>
        </w:tc>
      </w:tr>
      <w:tr>
        <w:trPr>
          <w:trHeight w:val="216"/>
        </w:trPr>
        <w:tc>
          <w:tcPr>
            <w:tcW w:w="650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(Gain) loss on disposal of equipment</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18,342</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(28,689)</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(28,844)</w:t>
            </w:r>
          </w:p>
        </w:tc>
      </w:tr>
      <w:tr>
        <w:trPr>
          <w:trHeight w:val="216"/>
        </w:trPr>
        <w:tc>
          <w:tcPr>
            <w:tcW w:w="650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(253)</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(3,583)</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(26,702)</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(13,084)</w:t>
            </w:r>
          </w:p>
        </w:tc>
      </w:tr>
      <w:tr>
        <w:trPr>
          <w:trHeight w:val="216"/>
        </w:trPr>
        <w:tc>
          <w:tcPr>
            <w:tcW w:w="6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(14,729)</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(4,157)</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(10,925)</w:t>
            </w:r>
          </w:p>
        </w:tc>
      </w:tr>
      <w:tr>
        <w:trPr>
          <w:trHeight w:val="216"/>
        </w:trPr>
        <w:tc>
          <w:tcPr>
            <w:tcW w:w="650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1,248</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18,123</w:t>
            </w:r>
          </w:p>
        </w:tc>
      </w:tr>
      <w:tr>
        <w:trPr>
          <w:trHeight w:val="216"/>
        </w:trPr>
        <w:tc>
          <w:tcPr>
            <w:tcW w:w="6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Income taxes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319</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(6,242)</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6500" w:type="dxa"/>
            <w:vAlign w:val="bottom"/>
            <w:shd w:val="clear" w:color="auto" w:fill="CCFFCC"/>
          </w:tcPr>
          <w:p>
            <w:pPr>
              <w:ind w:left="58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52,096</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42,187</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27,136</w:t>
            </w:r>
          </w:p>
        </w:tc>
      </w:tr>
      <w:tr>
        <w:trPr>
          <w:trHeight w:val="20"/>
        </w:trPr>
        <w:tc>
          <w:tcPr>
            <w:tcW w:w="650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09"/>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389,470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295,003</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246,218</w:t>
            </w:r>
          </w:p>
        </w:tc>
      </w:tr>
      <w:tr>
        <w:trPr>
          <w:trHeight w:val="425"/>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(15,457)</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(8,675)</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(4,730)</w:t>
            </w:r>
          </w:p>
        </w:tc>
      </w:tr>
      <w:tr>
        <w:trPr>
          <w:trHeight w:val="209"/>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(15,457)</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8"/>
                <w:szCs w:val="18"/>
                <w:color w:val="auto"/>
              </w:rPr>
            </w:pPr>
          </w:p>
        </w:tc>
      </w:tr>
      <w:tr>
        <w:trPr>
          <w:trHeight w:val="425"/>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(315,162)</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(286,366)</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(196,047)</w:t>
            </w:r>
          </w:p>
        </w:tc>
      </w:tr>
      <w:tr>
        <w:trPr>
          <w:trHeight w:val="20"/>
        </w:trPr>
        <w:tc>
          <w:tcPr>
            <w:tcW w:w="650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09"/>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(315,162)</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(286,366)</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(196,047)</w:t>
            </w:r>
          </w:p>
        </w:tc>
      </w:tr>
      <w:tr>
        <w:trPr>
          <w:trHeight w:val="210"/>
        </w:trPr>
        <w:tc>
          <w:tcPr>
            <w:tcW w:w="6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3,666</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(4,473)</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0"/>
        </w:trPr>
        <w:tc>
          <w:tcPr>
            <w:tcW w:w="6500" w:type="dxa"/>
            <w:vAlign w:val="bottom"/>
            <w:tcBorders>
              <w:top w:val="single" w:sz="8" w:color="CCFFCC"/>
            </w:tcBorders>
          </w:tcPr>
          <w:p>
            <w:pPr>
              <w:spacing w:after="0"/>
              <w:rPr>
                <w:sz w:val="18"/>
                <w:szCs w:val="18"/>
                <w:color w:val="auto"/>
              </w:rPr>
            </w:pPr>
          </w:p>
        </w:tc>
        <w:tc>
          <w:tcPr>
            <w:tcW w:w="4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62,517</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(4,511)</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45,278</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266,230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270,741</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225,463</w:t>
            </w: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80" w:type="dxa"/>
            <w:vAlign w:val="bottom"/>
            <w:shd w:val="clear" w:color="auto" w:fill="CCFFCC"/>
          </w:tcPr>
          <w:p>
            <w:pPr>
              <w:spacing w:after="0"/>
              <w:rPr>
                <w:sz w:val="21"/>
                <w:szCs w:val="21"/>
                <w:color w:val="auto"/>
              </w:rPr>
            </w:pP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266,230</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270,741</w:t>
            </w:r>
          </w:p>
        </w:tc>
      </w:tr>
      <w:tr>
        <w:trPr>
          <w:trHeight w:val="413"/>
        </w:trPr>
        <w:tc>
          <w:tcPr>
            <w:tcW w:w="650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80" w:type="dxa"/>
            <w:vAlign w:val="bottom"/>
            <w:tcBorders>
              <w:top w:val="single" w:sz="8" w:color="CCFFC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CCFFCC"/>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29"/>
        </w:trPr>
        <w:tc>
          <w:tcPr>
            <w:tcW w:w="650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Cash paid for taxes</w:t>
            </w:r>
          </w:p>
        </w:tc>
        <w:tc>
          <w:tcPr>
            <w:tcW w:w="48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47,271</w:t>
            </w:r>
          </w:p>
        </w:tc>
        <w:tc>
          <w:tcPr>
            <w:tcW w:w="240" w:type="dxa"/>
            <w:vAlign w:val="bottom"/>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83,403</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67,376</w:t>
            </w:r>
          </w:p>
        </w:tc>
      </w:tr>
      <w:tr>
        <w:trPr>
          <w:trHeight w:val="20"/>
        </w:trPr>
        <w:tc>
          <w:tcPr>
            <w:tcW w:w="65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-2596515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-2596515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-2043430</wp:posOffset>
            </wp:positionV>
            <wp:extent cx="102235"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-1464945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-1464945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-1036955</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-1036955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-471170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-454025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-471170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-454025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Cash Flows.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2560" w:type="dxa"/>
            <w:vAlign w:val="bottom"/>
            <w:gridSpan w:val="6"/>
            <w:vMerge w:val="restart"/>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272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62,191,570</w:t>
            </w:r>
          </w:p>
        </w:tc>
        <w:tc>
          <w:tcPr>
            <w:tcW w:w="1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253,711</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(27,532)</w:t>
            </w:r>
          </w:p>
        </w:tc>
        <w:tc>
          <w:tcPr>
            <w:tcW w:w="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226,800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(1,246,231)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(70,457)</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(125,578)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(196,047)</w:t>
            </w:r>
          </w:p>
        </w:tc>
        <w:tc>
          <w:tcPr>
            <w:tcW w:w="0" w:type="dxa"/>
            <w:vAlign w:val="bottom"/>
          </w:tcPr>
          <w:p>
            <w:pPr>
              <w:spacing w:after="0"/>
              <w:rPr>
                <w:sz w:val="1"/>
                <w:szCs w:val="1"/>
                <w:color w:val="auto"/>
              </w:rPr>
            </w:pPr>
          </w:p>
        </w:tc>
      </w:tr>
      <w:tr>
        <w:trPr>
          <w:trHeight w:val="216"/>
        </w:trPr>
        <w:tc>
          <w:tcPr>
            <w:tcW w:w="27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Restricted stock units issuance</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620,698</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Excise tax accrued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27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71,571</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71,571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176,568</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176,568</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61,566,037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(1,164,563)</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(91,620)</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(193,626)</w:t>
            </w: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(285,257)</w:t>
            </w: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units issuance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Excise tax accrued</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shd w:val="clear" w:color="auto" w:fill="CCFFCC"/>
          </w:tcPr>
          <w:p>
            <w:pPr>
              <w:ind w:left="6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(3,884)</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60,921,191</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329,439</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(30,922)</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299,126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(1,642,760)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(109,273)</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(204,290)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(313,579)</w:t>
            </w:r>
          </w:p>
        </w:tc>
        <w:tc>
          <w:tcPr>
            <w:tcW w:w="0" w:type="dxa"/>
            <w:vAlign w:val="bottom"/>
          </w:tcPr>
          <w:p>
            <w:pPr>
              <w:spacing w:after="0"/>
              <w:rPr>
                <w:sz w:val="1"/>
                <w:szCs w:val="1"/>
                <w:color w:val="auto"/>
              </w:rPr>
            </w:pPr>
          </w:p>
        </w:tc>
      </w:tr>
      <w:tr>
        <w:trPr>
          <w:trHeight w:val="216"/>
        </w:trPr>
        <w:tc>
          <w:tcPr>
            <w:tcW w:w="27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Restricted stock units issuance</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566,860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Excise tax accrued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(1,985)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(1,985)</w:t>
            </w:r>
          </w:p>
        </w:tc>
        <w:tc>
          <w:tcPr>
            <w:tcW w:w="0" w:type="dxa"/>
            <w:vAlign w:val="bottom"/>
          </w:tcPr>
          <w:p>
            <w:pPr>
              <w:spacing w:after="0"/>
              <w:rPr>
                <w:sz w:val="1"/>
                <w:szCs w:val="1"/>
                <w:color w:val="auto"/>
              </w:rPr>
            </w:pPr>
          </w:p>
        </w:tc>
      </w:tr>
      <w:tr>
        <w:trPr>
          <w:trHeight w:val="216"/>
        </w:trPr>
        <w:tc>
          <w:tcPr>
            <w:tcW w:w="27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111,263</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111,263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4"/>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w:t>
            </w: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59,845,291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345,097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(30,930)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-2371090</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-2371090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-2371090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-2371090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-2371090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-159385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-159385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-159385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Statements of Shareholders’ Equity.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Consolidation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ind w:right="180" w:firstLine="255"/>
        <w:spacing w:after="0" w:line="256" w:lineRule="auto"/>
        <w:rPr>
          <w:sz w:val="20"/>
          <w:szCs w:val="20"/>
          <w:color w:val="auto"/>
        </w:rPr>
      </w:pPr>
      <w:r>
        <w:rPr>
          <w:rFonts w:ascii="Times New Roman" w:cs="Times New Roman" w:eastAsia="Times New Roman" w:hAnsi="Times New Roman"/>
          <w:sz w:val="18"/>
          <w:szCs w:val="18"/>
          <w:color w:val="auto"/>
        </w:rPr>
        <w:t>Manhattan Associates, Inc. (“Manhattan”, the “Company”, “we”, “our”, or “us”) is a developer and provider of supply chain commerce solutions that help organizations optimize the effectiveness, efficiency, and strategic advantages of their supply chains. Our solutions consist of software, services, and hardware, which coordinate people, workflows, assets, events, and tasks holistically across the functions linked in a supply chain from planning through execution. These solutions also help coordinate the actions, data exchange, and communication of participants in supply chain ecosystems, such as manufacturers, suppliers, distributors, trading partners, transportation providers, channels (such as catalogers, store retailers, and Web outlets), and consumers.</w:t>
      </w:r>
    </w:p>
    <w:p>
      <w:pPr>
        <w:spacing w:after="0" w:line="7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Our operations are in North and South America (the “Americas"), Europe (EMEA), and the Asia Pacific (APAC) region. The Americas operation are conducted through the Parent Company, Manhattan Associates, Inc., and its wholly-owned subsidiary, Manhattan Associates Chile Spa. Our European and Asia Pacific operations are conducted through wholly owned subsidiaries within their respective geographies. We occasionally sell our products and services in other countries, such as countries in Latin America, Eastern Europe, Middle East, and Asia, through our direct sales channel as well as various reseller channels.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Risks Associated with Single Business Line, Technological Advances, and Foreign Operations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currently derive a substantial portion of our revenues from sales of cloud solutions and related services. The markets for supply chain commerce solutions are highly competitive, subject to rapid technological change, changing customer needs, frequent new product introductions, and evolving industry standards that may render existing products and services obsolete. As a result, our position in these markets could be eroded rapidly by unforeseen changes in customer requirements for application features, functions, and technologies.</w:t>
      </w:r>
    </w:p>
    <w:p>
      <w:pPr>
        <w:spacing w:after="0" w:line="7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Our international business is subject to risks typical of an international business, including, but not limited to, differing economic conditions, changes in political climate, differing tax structures, other regulations and restrictions, and foreign exchange rate volatility. We recognized foreign exchange gains of $1.7 million in 2025, compared to losses of $1.0 million in 2024, and gains of $1.5 million in 2023. Foreign exchange rate transaction gains and losses are classified in “Other (loss) income, net” on the Consolidated Statements of Income.</w:t>
      </w:r>
    </w:p>
    <w:p>
      <w:pPr>
        <w:spacing w:after="0" w:line="72" w:lineRule="exact"/>
        <w:rPr>
          <w:sz w:val="20"/>
          <w:szCs w:val="20"/>
          <w:color w:val="auto"/>
        </w:rPr>
      </w:pPr>
    </w:p>
    <w:p>
      <w:pPr>
        <w:ind w:right="140" w:firstLine="300"/>
        <w:spacing w:after="0" w:line="266" w:lineRule="auto"/>
        <w:rPr>
          <w:sz w:val="20"/>
          <w:szCs w:val="20"/>
          <w:color w:val="auto"/>
        </w:rPr>
      </w:pPr>
      <w:r>
        <w:rPr>
          <w:rFonts w:ascii="Times New Roman" w:cs="Times New Roman" w:eastAsia="Times New Roman" w:hAnsi="Times New Roman"/>
          <w:sz w:val="18"/>
          <w:szCs w:val="18"/>
          <w:color w:val="auto"/>
        </w:rPr>
        <w:t>In addition, we have a large development center in Bangalore, India, that does not have a natural in-market revenue hedge to mitigate currency risk to our operating expenses in India. Fluctuations in the value of other currencies, particularly the Indian Rupee, could significantly affect our expenses, operating profit and net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Foreign Currency Translation</w:t>
      </w:r>
    </w:p>
    <w:p>
      <w:pPr>
        <w:spacing w:after="0" w:line="121"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balances and transactions have been eliminated in consolidation.</w:t>
      </w:r>
    </w:p>
    <w:p>
      <w:pPr>
        <w:spacing w:after="0" w:line="54"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The financial statements of foreign subsidiaries have been translated into United States dollars in accordance with the foreign currency matters topic in the Financial Accounting Standards Board's (FASB) Accounting Standards Codification (the “Codification”). Revenues and expenses from international operations were denominated in the respective local currencies and translated using the average monthly exchange rates for the year. All balance sheet accounts have been translated using the exchange rates in effect at the balance sheet date and the effect of changes in exchange rates from year to year are disclosed as a separate component of shareholders’ equity and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original maturities of three months or less to be cash or cash equivalents.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principally of cash and cash equivalents and accounts receivable. We maintain cash and cash equivalents with various financial institutions. Amounts held are above the federally insured limit.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1" w:name="page52"/>
    <w:bookmarkEnd w:id="51"/>
    <w:p>
      <w:pPr>
        <w:ind w:firstLine="255"/>
        <w:spacing w:after="0" w:line="255" w:lineRule="auto"/>
        <w:rPr>
          <w:sz w:val="20"/>
          <w:szCs w:val="20"/>
          <w:color w:val="auto"/>
        </w:rPr>
      </w:pPr>
      <w:r>
        <w:rPr>
          <w:rFonts w:ascii="Times New Roman" w:cs="Times New Roman" w:eastAsia="Times New Roman" w:hAnsi="Times New Roman"/>
          <w:sz w:val="18"/>
          <w:szCs w:val="18"/>
          <w:color w:val="auto"/>
        </w:rPr>
        <w:t>Our sales are primarily to companies located in the United States, Europe and Asia. We perform periodic credit evaluations of our customers’ financial condition and do not require collateral. Accounts receivable are due principally from large U.S., European and Asia Pacific companies under stated contract terms. Accounts receivable, net as of December 31, 2025 for the Americas, EMEA, and APAC segments were $152.8 million, $52.9 million, and $9.0 million, respectively. Accounts receivable, net as of December 31, 2024 for the Americas, EMEA, and APAC segments were $144.8 million, $50.6 million, and $10.1 million, respectively. Our top five customers in aggregate accounted for 10%, 12%, and 11% of total revenue recognized for the year ended December 31, 2025 (“2025”), the year ended December 31, 2024 (“2024”), and the year ended December 31, 2023 (“2023”), respectively. No single customer accounted for more than 10% of revenue in 2025, 2024, and 2023, or more than 10% of accounts receivable as of December 31, 2025 and 2024.</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measure our investments based on a fair value hierarchy disclosure framework that prioritizes and ranks the level of market price observability used in measuring assets and liabilities at fair value. Market price observability is affected by a number of factors, including the type of asset or liability and their characteristics. This hierarchy prioritizes the inputs into three broad levels as follows:</w:t>
      </w:r>
    </w:p>
    <w:p>
      <w:pPr>
        <w:spacing w:after="0" w:line="68" w:lineRule="exact"/>
        <w:rPr>
          <w:sz w:val="20"/>
          <w:szCs w:val="20"/>
          <w:color w:val="auto"/>
        </w:rPr>
      </w:pPr>
    </w:p>
    <w:p>
      <w:pPr>
        <w:ind w:left="520" w:hanging="257"/>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instruments.</w:t>
      </w:r>
    </w:p>
    <w:p>
      <w:pPr>
        <w:spacing w:after="0" w:line="117" w:lineRule="exact"/>
        <w:rPr>
          <w:rFonts w:ascii="Times New Roman" w:cs="Times New Roman" w:eastAsia="Times New Roman" w:hAnsi="Times New Roman"/>
          <w:sz w:val="18"/>
          <w:szCs w:val="18"/>
          <w:color w:val="auto"/>
        </w:rPr>
      </w:pPr>
    </w:p>
    <w:p>
      <w:pPr>
        <w:ind w:left="520" w:right="40" w:hanging="257"/>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225"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Investments with maturities of 90 days or less from the date of purchase are classified as cash equivalents; investments with maturities of greater than 90 days from the date of purchase but less than one year are generally classified as short-term investments; and investments with maturities of one year or greater from the date of purchase are generally classified as long-term investments. Unrealized holding gains and losses are reflected as a net amount in a separate component of shareholders’ equity until realized. For the purposes of computing realized gains and losses, cost is determined on a specific identification basis.</w:t>
      </w:r>
    </w:p>
    <w:p>
      <w:pPr>
        <w:spacing w:after="0" w:line="75"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At December 31, 2025, the Company’s cash and cash equivalents were $256.1 million and $72.6 million, respectively. Cash equivalents consist of highly liquid money market funds of $51.3 million and certificates of deposit of $21.3 million. For money market funds, we use quoted prices from active markets that are classified as Level 1, the highest level of observable input in the disclosure hierarchy framework. The Company had no investments at December 31, 2025.</w:t>
      </w:r>
    </w:p>
    <w:p>
      <w:pPr>
        <w:spacing w:after="0" w:line="72"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short-term investments, accounts receivable, and accounts payable included in the accompanying Consolidated Balance Sheets approximate their fair values principally due to the short-term maturities of these instruments.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Estimates include the allowance for credit losses, which is based upon an evaluation of historical amounts written-off, the customers’ ability to pay, and general economic conditions; self-insurance accruals; impairment testing of goodwill; and our effective income tax rate (including the impact of unrecognized tax benefits) and deferred tax assets, which are based upon our expectations of future taxable income, allowable deductions, and projected tax credits. Actual results will differ from these estimates.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recognize revenue when we transfer control of the promised products or services to our customers, in an amount that reflects the consideration we expect to be entitled to in exchange for those products or services. We derive our revenue from cloud subscriptions, software licenses, customer support services and software enhancements (“maintenance”) for software licenses, professional services, and sales of hardware. We exclude sales and usage-based taxes from revenue.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Nature of Products and Services</w:t>
      </w:r>
    </w:p>
    <w:p>
      <w:pPr>
        <w:spacing w:after="0" w:line="117"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Cloud subscriptions include software as a service (“SaaS”) and hosting arrangements which provide customers with the right to use our software within a cloud environment that we provide and manage where the customer does not have the right to take possession of the software without significant penalty. SaaS and hosting revenues are recognized over the contract period as the service is provided.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Our services revenue consists of fees generated from implementation, training and application managed services, including reimbursements of out-of-pocket expenses in connection with our implementation services. Implementation services include system planning, design, configuration, testing, and other software implementation support, and are typically optional and distinct from our software. Following implementation, customers may purchase application managed services to support and maintain our software. Fees for our services are separately priced and are generally billed on an hourly basis, and revenue is recognized over time as the services are performed. In certain situations, we render professional services under agreements based upon a fixed fee for portions of or all of the engagement. Revenue related to fixed-fee-based services contracts is recognized over time based on the proportion performed.</w:t>
      </w:r>
    </w:p>
    <w:p>
      <w:pPr>
        <w:spacing w:after="0" w:line="81" w:lineRule="exact"/>
        <w:rPr>
          <w:sz w:val="20"/>
          <w:szCs w:val="20"/>
          <w:color w:val="auto"/>
        </w:rPr>
      </w:pPr>
    </w:p>
    <w:p>
      <w:pPr>
        <w:ind w:right="1740" w:firstLine="255"/>
        <w:spacing w:after="0" w:line="258" w:lineRule="auto"/>
        <w:rPr>
          <w:sz w:val="20"/>
          <w:szCs w:val="20"/>
          <w:color w:val="auto"/>
        </w:rPr>
      </w:pPr>
      <w:r>
        <w:rPr>
          <w:rFonts w:ascii="Times New Roman" w:cs="Times New Roman" w:eastAsia="Times New Roman" w:hAnsi="Times New Roman"/>
          <w:sz w:val="18"/>
          <w:szCs w:val="18"/>
          <w:color w:val="auto"/>
        </w:rPr>
        <w:t>Our cloud contracts with customers can include the sales of SaaS and services. We allocate the transaction price to the distinct performance obligations based on relative SSP. We estimate SSP based on the prices charged to customers, or by using information such as market conditions and other observable inputs. The selling price of our cloud subscriptions are highly variable. Thus, we estimate SSP for our cloud subscriptions using the residual approach, determined based on total transaction price less the SSP of other goods and services promised in the contract.</w:t>
      </w:r>
    </w:p>
    <w:p>
      <w:pPr>
        <w:spacing w:after="0" w:line="75"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provide maintenance services to customers who have previously purchased a perpetual license, including a comprehensive 24 hours per day, 365 days per year program that provides customers with software upgrades, when and if available, which include additional or improved functionality and technological advances incorporating emerging supply chain and industry initiatives. Maintenance contracts typically only have one performance obligation. Revenue related to maintenance is generally paid in advance and recognized over the term of the agreement, typically twelve months.</w:t>
      </w:r>
    </w:p>
    <w:p>
      <w:pPr>
        <w:spacing w:after="0" w:line="72"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Our perpetual software licenses provide the customer with a right to use the software as it exists at the time of purchase. We recognize revenue for distinct software licenses once the license period has begun and we have made the software available to the customer. The selling prices of our software licenses are highly variable. Thus, we estimate SSP for software licenses using the residual approach, determined based on total transaction price less the SSP of other goods and services promised in the contract.</w:t>
      </w:r>
    </w:p>
    <w:p>
      <w:pPr>
        <w:spacing w:after="0" w:line="7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Our customers periodically purchase hardware products developed and manufactured by third parties from us for use with the software licenses purchased from us. These products include computer hardware, radio frequency terminal networks, radio frequency identification (RFID) chip readers, bar code printers and scanners, and other peripherals. As we do not physically control the hardware that we sell, we are acting as an agent in the transaction and recognize our hardware revenue net of related cost. We recognize hardware revenue when control is transferred to the customer upon shipment.</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44"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Cloud subscriptions and maintenance for perpetual software licenses are typically billed annually in advance. Timing of invoicing to customers may differ from timing of revenue recognition. Payment terms for our software licenses vary. We have an established history of collecting under the terms of our software license contracts without providing refunds or concessions to our customers. Services are typically billed monthly as performed. In instances where the timing of revenue recognition differs from the timing of invoicing, we have determined that our contracts generally do not include a significant financing component. The primary purpose of our invoicing terms is to provide customers with predictable ways to purchase our software and services, not to provide or receive financing. Additionally, we are applying the practical expedient to exclude from consideration any contracts with payment terms of one year or less. We rarely offer terms extending beyond one year.</w:t>
      </w:r>
    </w:p>
    <w:p>
      <w:pPr>
        <w:spacing w:after="0" w:line="81" w:lineRule="exact"/>
        <w:rPr>
          <w:sz w:val="20"/>
          <w:szCs w:val="20"/>
          <w:color w:val="auto"/>
        </w:rPr>
      </w:pPr>
    </w:p>
    <w:p>
      <w:pPr>
        <w:ind w:right="260" w:firstLine="255"/>
        <w:spacing w:after="0" w:line="312" w:lineRule="auto"/>
        <w:rPr>
          <w:sz w:val="20"/>
          <w:szCs w:val="20"/>
          <w:color w:val="auto"/>
        </w:rPr>
      </w:pPr>
      <w:r>
        <w:rPr>
          <w:rFonts w:ascii="Times New Roman" w:cs="Times New Roman" w:eastAsia="Times New Roman" w:hAnsi="Times New Roman"/>
          <w:sz w:val="17"/>
          <w:szCs w:val="17"/>
          <w:color w:val="auto"/>
        </w:rPr>
        <w:t>Deferred revenue mainly represents amounts collected prior to having fully satisfied cloud subscriptions, maintenance and professional services performance obligations. $277.0 million of revenue that was included in the deferred revenue balance as of December 31, 2024 was recognized in 2025.</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revenue was recognized in 2025 from performance obligations that were satisfied in prior periods.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Remaining Performance Obligations</w:t>
      </w:r>
    </w:p>
    <w:p>
      <w:pPr>
        <w:spacing w:after="0" w:line="117"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As of December 31, 2025, approximately $2.2 billion of revenue is expected to be recognized from remaining performance obligations. Over 98% of our remaining performance obligations represent cloud native subscriptions with a non-cancelable term greater than one year (including cloud-deferred revenue as well as amounts we will invoice and recognize as revenue from our performance of cloud services in future periods). Maintenance contracts for perpetual software licenses are typically one year in duration and are not included in the remaining performance obligations. We expect to recognize revenue on approximately 38% of these remaining performance obligations over the next 24 months with the majority of the remaining balance recognized over the following 36 months. We have elected not to provide disclosures regarding remaining performance obligations for contracts with a term of 1 year or less.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Returns and Allowances</w:t>
      </w:r>
    </w:p>
    <w:p>
      <w:pPr>
        <w:spacing w:after="0" w:line="117"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We have not experienced significant returns or warranty claims to date and, as a result, have not recorded a provision for the cost of returns and product warranty claims.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3" w:name="page54"/>
    <w:bookmarkEnd w:id="53"/>
    <w:p>
      <w:pPr>
        <w:ind w:right="80" w:firstLine="255"/>
        <w:spacing w:after="0" w:line="263" w:lineRule="auto"/>
        <w:rPr>
          <w:sz w:val="20"/>
          <w:szCs w:val="20"/>
          <w:color w:val="auto"/>
        </w:rPr>
      </w:pPr>
      <w:r>
        <w:rPr>
          <w:rFonts w:ascii="Times New Roman" w:cs="Times New Roman" w:eastAsia="Times New Roman" w:hAnsi="Times New Roman"/>
          <w:sz w:val="18"/>
          <w:szCs w:val="18"/>
          <w:color w:val="auto"/>
        </w:rPr>
        <w:t>We record an allowance for credit losses utilizing a model of internal historical losses data. In estimating the allowance for credit losses, we considered our historical write-offs, the historical creditworthiness of the customer, and other factors. We also analyzed expected credit losses given future risks in projected economic conditions and future risks of customer collection. Should any of these factors change, the estimates made by us will also change accordingly, which could affect the level of our future allowances. Additions to the allowance for credit losses are recorded in general and administrative expense and were immaterial in all periods presented. Our credit loss reserve was $0.9 million and $0.9 million as of December 31, 2025 and 2024, respectively.</w:t>
      </w:r>
    </w:p>
    <w:p>
      <w:pPr>
        <w:spacing w:after="0" w:line="70"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We also reduce accounts receivable with a corresponding reduction in services revenue for the most likely amount of potential service revenue adjustments based on a detailed assessment of accounts receivable. The total amount recorded to services revenue was $0.6 million, $1.6 million, and $4.9 million for the years ended December 31, 2025, 2024, and 2023, respectively. As of December 31, 2025 and 2024, we have reduced our accounts receivable balance by $1.9 million and $2.8 million, respectively, for these potential adjustments.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Deferred Commissions</w:t>
      </w:r>
    </w:p>
    <w:p>
      <w:pPr>
        <w:spacing w:after="0" w:line="11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consider sales commissions to be incremental costs of obtaining a contract with a customer. We defer and recognize an asset for sales commissions related to performance obligations with an expected period of benefit of more than one year. We amortize these amounts over the expected benefit period which we estimate by considering several factors, including the rate of technological change and duration of our customer contracts. Sales commissions for renewal contracts are amortized over the related contractual renewal period. We apply the practical expedient to expense sales commissions when the amortization period would have been one year or less. Deferred commissions were $51.2 million as of December 31, 2025, of which $39.5 million is included in other assets and $11.7 million is included in prepaid expenses. Deferred commissions were $42.4 million as of December 31, 2024, of which $31.8 million is included in other assets and $10.6 million is included in prepaid expenses. Sales commission expense is included in Sales and Marketing expense in the accompanying consolidated statement of operations. Amortization of sales commissions in 2025, 2024, and 2023 was $12.0 million, $10.6 million, and $9.8 million respectively. No impairment losses were recognized during 2025, 2024, and 2023.</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Property and equipment is recorded at cost and consists of furniture, computers, other office equipment, and leasehold improvements. We depreciate the cost of furniture, computers, and other office equipment on a straight-line basis over their estimated useful lives (three to five years for office equipment, seven years for furniture and fixtures). Leasehold improvements are depreciated over the lesser of their useful lives or the term of the lease. Depreciation and amortization expense for 2025, 2024, and 2023 was approximately $6.3 million, $6.3 million, and $5.8 million, respectively, and was included in “Depreciation and amortization” in the Consolidated Statements of Income. Amortization expense on intangible assets in 2025, 2024, and 2023 was immaterial.</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at cost, consist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FFC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38,479</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41,208</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5,596</w:t>
            </w:r>
          </w:p>
        </w:tc>
      </w:tr>
      <w:tr>
        <w:trPr>
          <w:trHeight w:val="21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31,761</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26,396</w:t>
            </w:r>
          </w:p>
        </w:tc>
      </w:tr>
      <w:tr>
        <w:trPr>
          <w:trHeight w:val="20"/>
        </w:trPr>
        <w:tc>
          <w:tcPr>
            <w:tcW w:w="48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09"/>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77,807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73,200</w:t>
            </w:r>
          </w:p>
        </w:tc>
      </w:tr>
      <w:tr>
        <w:trPr>
          <w:trHeight w:val="21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(54,687)</w:t>
            </w: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(59,229)</w:t>
            </w:r>
          </w:p>
        </w:tc>
      </w:tr>
      <w:tr>
        <w:trPr>
          <w:trHeight w:val="20"/>
        </w:trPr>
        <w:tc>
          <w:tcPr>
            <w:tcW w:w="48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23,120</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13,971</w:t>
            </w:r>
          </w:p>
        </w:tc>
      </w:tr>
      <w:tr>
        <w:trPr>
          <w:trHeight w:val="20"/>
        </w:trPr>
        <w:tc>
          <w:tcPr>
            <w:tcW w:w="4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-453390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Software may be for internal use or for resale. Costs related to certain software, which is for resale, are capitalized in accordance with Accounting Standards Codification (“ASC”) 985-20, Costs of Software to be Sold, Leased, or Marketed. Under this guidance, computer software development costs are charged to research and development (R&amp;D) expense until technological feasibility is established, after which remaining software production costs are capitalized. We have defined technological feasibility as the point in time at which we have a detailed program design or a working model of the related product, depending on the type of development efforts, and high-risk development issues have been resolved through end-to-end system testing. We do not typically capitalize costs related to software for resale as technological feasibility generally coincides with general availability of the software.</w:t>
      </w:r>
    </w:p>
    <w:p>
      <w:pPr>
        <w:spacing w:after="0" w:line="79"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We account for internal use software in accordance with ASC 350-40, Internal Use Software. We expense all costs incurred during the preliminary project stage of our development. We capitalize the costs incurred during the application development stage once it is probable that development will be completed and the software will be used to perform the function intended. These costs are typically insignificant. All other costs, primarily related to maintenance and minor software fixes as well as research and development, are expensed as incurred.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We review the values assigned to long-lived assets, including property and equipment and certain intangible assets, to determine whether events and circumstances have occurred which indicate that the remaining estimated useful lives may warrant revision or that the remaining balances may not be recoverable. If such events and circumstances exist, undiscounted cash flows associated with these assets are compared with their carrying value to determine if a write-down to fair value is required. During 2025, 2024, and 2023, we did not recognize any impairment expense associated with our long-lived or intangible assets.</w:t>
      </w:r>
    </w:p>
    <w:p>
      <w:pPr>
        <w:spacing w:after="0" w:line="75"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 evaluation of asset impairment requires management to make assumptions about future cash flows over the life of the asset being evaluated. These assumptions require significant judgment, and actual results may differ from assumed and estimated amounts.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Goodwill and Impairment of Goodwill</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11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net identified tangible and intangible assets and liabilities acquired. We evaluate goodwill for impairment on at least an annual basis. During 2025 and 2024, we did not recognize any impairment expense associated with our goodwill. We do not have any accumulated impairment loses as of 2025. Goodwill was $62.2 million at the end of both years ended December 31, 2025 and 2024.</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117"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We evaluate the carrying value of goodwill annually as of December 31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w:t>
      </w:r>
    </w:p>
    <w:p>
      <w:pPr>
        <w:spacing w:after="0" w:line="68"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We applied the simplified goodwill impairment test for 2025, that permits companies to perform a qualitative assessment based on economic, industry and company-specific factors as the initial step in the annual goodwill impairment test for all or selected reporting units. Based on the results of the qualitative assessment, companies are only required to perform Step 1 of the annual impairment test for a reporting unit if the company concludes that it is not more likely than not that the unit’s fair value is less than its carrying amount. To the extent we conclude that it is more likely than not that a reporting unit’s estimated fair value is less than its carrying amount, the two-step approach is applied. The first step would require a comparison of each reporting unit’s fair value to the respective carrying amount. If the carrying amount exceeds the fair value, a second step is performed to measure the amount of impairment loss, if any. We did not identify any macroeconomic or industry conditions as of December 31, 2025, that would indicate that the fair value of the reporting units were more likely than not to be less than their respective carrying values. If circumstances change or events occur to indicate that it is more likely than not that the fair value of any reporting units have fallen below their carrying amount, we would record an impairment expense based on that difference. We performed our periodic goodwill impairment review as of December 31, 2025 and 2024, and did not identify any impairment as a result of the review.</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Indemnities</w:t>
      </w:r>
    </w:p>
    <w:p>
      <w:pPr>
        <w:spacing w:after="0" w:line="117"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account for guarantees in accordance with the guarantee accounting topic in the FASB Codification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customer contracts generally contain infringement indemnity provisions. Under those provisions, we generally agree, subject to certain exceptions, to indemnify, defend, and hold harmless the customer in connection with third party claims against the customer alleging that the customer’s use of our services and products in compliance with their license infringe the third party’s patent, copyright, or other intellectual property rights. Conditions to our obligations generally include that we are provided the right to control the defense of the claims and, in general, to control settlement negotiations. Those provisions generally provide also that, if the customer is prevented from using our services or products because of a third party infringement claim, our sole obligation (in addition to the indemnification, defense, and hold harmless obligation referred to above) is to, at our expense, (i) procure for the customer the right to continue to use the services or products, (ii) replace or modify the services or products so that the customer’s use does not infringe, or, if neither of these options is reasonably feasible, (iii) terminate that particular services or products and provide, as applicable, a refund of services fees paid for services not received or a refund of the unamortized portion of the license fees paid for the products (based on a five year amortization period). Our customer contracts sometimes also require us to indemnify, defend, and hold harmless the customer in connection with death, personal injury or property damage claims made by third parties with respect to actions of our personnel or contractors. The indemnity obligations contained in our customer contracts generally have no specified expiration date and no specified monetary limitation on liability, but they do not cover indirect or consequential damages, such as our customers’ lost revenues or profits. We have not previously incurred costs to settle claims or pay awards under these indemnification obligations. We account for these indemnity obligations in accordance with the Financial Accounting Standards Board's guidance on accounting for contingencies and record a liability for these obligations when a loss is probable and reasonably estimable. We have not recorded any liabilities for these indemnification obligations as of December 31, 2025, or 2024.</w:t>
      </w:r>
    </w:p>
    <w:p>
      <w:pPr>
        <w:spacing w:after="0" w:line="87" w:lineRule="exact"/>
        <w:rPr>
          <w:sz w:val="20"/>
          <w:szCs w:val="20"/>
          <w:color w:val="auto"/>
        </w:rPr>
      </w:pPr>
    </w:p>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In general, in our customer contracts for purchase of our cloud SaaS services or license of our on-premises software products, we warrant that our services or software will perform in accordance with our published services or product specifications. Additionally,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55" w:name="page56"/>
    <w:bookmarkEnd w:id="55"/>
    <w:p>
      <w:pPr>
        <w:spacing w:after="0" w:line="255" w:lineRule="auto"/>
        <w:rPr>
          <w:sz w:val="20"/>
          <w:szCs w:val="20"/>
          <w:color w:val="auto"/>
        </w:rPr>
      </w:pPr>
      <w:r>
        <w:rPr>
          <w:rFonts w:ascii="Times New Roman" w:cs="Times New Roman" w:eastAsia="Times New Roman" w:hAnsi="Times New Roman"/>
          <w:sz w:val="18"/>
          <w:szCs w:val="18"/>
          <w:color w:val="auto"/>
        </w:rPr>
        <w:t>we may include other warranties such as “no-malware” warranties and warranties that we will perform our SaaS services consistent with generally accepted industry standards or similar standards. In our SaaS services agreements, we also include service level agreements (SLAs) under which we agree to provide service credits to our customers if our services availability drops below certain defined levels. We also warrant to our customers that services will be performed consistent with generally accepted industry standards or specific service levels through completion of the agreed upon services. If necessary, we will provide for the estimated cost of product and service warranties based on specific warranty claims history. However, we have not incurred significant recurring expenses under product or service warranties. As a result, we believe the estimated fair value of these agreements is nominal. Accordingly, we have no liabilities recorded for these agreements as of December 31, 2025 and 2024.</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19"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We have three reportable segments as defined by the FASB Codification topic for segment reporting: Americas, EMEA, and APAC. See Note 8 for discussion of our reportable segments.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Basic and Diluted Net Income Per Share</w:t>
      </w:r>
    </w:p>
    <w:p>
      <w:pPr>
        <w:spacing w:after="0" w:line="11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Basic net income per share is computed using net income divided by the weighted average number of shares of common stock outstanding (“Weighted Shares”) for the period presented.</w:t>
      </w:r>
    </w:p>
    <w:p>
      <w:pPr>
        <w:spacing w:after="0" w:line="162"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Diluted net income per share is computed using net income divided by Weighted Shares and the treasury stock method effect of common equivalent shares (CES) outstanding for each period presented. In the following table, we present a reconciliation of earnings per share and the shares used in the computation of earnings per share for the years ended December 31, 2025, 2024 and 2023 (in thousands, except per share data):</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142"/>
        </w:trPr>
        <w:tc>
          <w:tcPr>
            <w:tcW w:w="3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w:t>
            </w:r>
          </w:p>
        </w:tc>
        <w:tc>
          <w:tcPr>
            <w:tcW w:w="5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data)</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219,948</w:t>
            </w:r>
          </w:p>
        </w:tc>
        <w:tc>
          <w:tcPr>
            <w:tcW w:w="14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218,364</w:t>
            </w:r>
          </w:p>
        </w:tc>
        <w:tc>
          <w:tcPr>
            <w:tcW w:w="14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176,568</w:t>
            </w:r>
          </w:p>
        </w:tc>
        <w:tc>
          <w:tcPr>
            <w:tcW w:w="100" w:type="dxa"/>
            <w:vAlign w:val="bottom"/>
            <w:shd w:val="clear" w:color="auto" w:fill="CCFFC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4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FFC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3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40" w:type="dxa"/>
            <w:vAlign w:val="bottom"/>
            <w:shd w:val="clear" w:color="auto" w:fill="CCFFCC"/>
          </w:tcPr>
          <w:p>
            <w:pPr>
              <w:spacing w:after="0"/>
              <w:rPr>
                <w:sz w:val="21"/>
                <w:szCs w:val="21"/>
                <w:color w:val="auto"/>
              </w:rPr>
            </w:pPr>
          </w:p>
        </w:tc>
        <w:tc>
          <w:tcPr>
            <w:tcW w:w="4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FFCC"/>
          </w:tcPr>
          <w:p>
            <w:pPr>
              <w:spacing w:after="0"/>
              <w:rPr>
                <w:sz w:val="21"/>
                <w:szCs w:val="21"/>
                <w:color w:val="auto"/>
              </w:rPr>
            </w:pPr>
          </w:p>
        </w:tc>
        <w:tc>
          <w:tcPr>
            <w:tcW w:w="4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FFCC"/>
          </w:tcPr>
          <w:p>
            <w:pPr>
              <w:spacing w:after="0"/>
              <w:rPr>
                <w:sz w:val="21"/>
                <w:szCs w:val="21"/>
                <w:color w:val="auto"/>
              </w:rPr>
            </w:pPr>
          </w:p>
        </w:tc>
      </w:tr>
      <w:tr>
        <w:trPr>
          <w:trHeight w:val="413"/>
        </w:trPr>
        <w:tc>
          <w:tcPr>
            <w:tcW w:w="340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580" w:type="dxa"/>
            <w:vAlign w:val="bottom"/>
            <w:tcBorders>
              <w:top w:val="single" w:sz="8" w:color="CCFFC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16"/>
        </w:trPr>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60,473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61,303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shd w:val="clear" w:color="auto" w:fill="CCFFC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r>
      <w:tr>
        <w:trPr>
          <w:trHeight w:val="250"/>
        </w:trPr>
        <w:tc>
          <w:tcPr>
            <w:tcW w:w="34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61,054</w:t>
            </w: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62,183</w:t>
            </w: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62,608</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-745490</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-728345</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-745490</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-728345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-745490</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-728345</wp:posOffset>
            </wp:positionV>
            <wp:extent cx="59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number of anti-dilutive CESs in 2025, 2024, and 2023 was immaterial.</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ind w:right="700" w:firstLine="255"/>
        <w:spacing w:after="0" w:line="266" w:lineRule="auto"/>
        <w:rPr>
          <w:sz w:val="20"/>
          <w:szCs w:val="20"/>
          <w:color w:val="auto"/>
        </w:rPr>
      </w:pPr>
      <w:r>
        <w:rPr>
          <w:rFonts w:ascii="Times New Roman" w:cs="Times New Roman" w:eastAsia="Times New Roman" w:hAnsi="Times New Roman"/>
          <w:sz w:val="18"/>
          <w:szCs w:val="18"/>
          <w:color w:val="auto"/>
        </w:rPr>
        <w:t>Comprehensive income includes net income and foreign currency translation adjustments that are excluded from net income and reflected in shareholders’ equity. The entire accumulated other comprehensive income balance as of December 31, 2025 and 2024 represents foreign currency translation adjustments.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provide for the effect of income taxes on our financial position and results of operations in accordance with the Income Taxes Topic of the Codification. Under this accounting pronouncement, income tax expense is recognized for the amount of income taxes payable or refundable for the current year and for the change in net deferred tax assets or liabilities resulting from events that are recorded for financial reporting purposes in a different reporting period than recorded in the tax return. Management must make significant assumptions, judgments, and estimates to determine our current provision for income taxes and also our deferred tax assets and liabilities and any valuation allowance to be recorded against our net deferred tax asset.</w:t>
      </w:r>
    </w:p>
    <w:p>
      <w:pPr>
        <w:spacing w:after="0" w:line="75" w:lineRule="exact"/>
        <w:rPr>
          <w:sz w:val="20"/>
          <w:szCs w:val="20"/>
          <w:color w:val="auto"/>
        </w:rPr>
      </w:pPr>
    </w:p>
    <w:p>
      <w:pPr>
        <w:ind w:right="360" w:firstLine="255"/>
        <w:spacing w:after="0" w:line="258" w:lineRule="auto"/>
        <w:rPr>
          <w:sz w:val="20"/>
          <w:szCs w:val="20"/>
          <w:color w:val="auto"/>
        </w:rPr>
      </w:pPr>
      <w:r>
        <w:rPr>
          <w:rFonts w:ascii="Times New Roman" w:cs="Times New Roman" w:eastAsia="Times New Roman" w:hAnsi="Times New Roman"/>
          <w:sz w:val="18"/>
          <w:szCs w:val="18"/>
          <w:color w:val="auto"/>
        </w:rPr>
        <w:t>Our judgments, assumptions, and estimates relative to the current provision for income tax take into account current tax laws, our interpretation of current tax laws, allowable deductions, projected tax credits, and possible outcomes of current and future audits conducted by foreign and domestic tax authorities. We recognize tax benefits only when it is more likely than not that they will be sustained on audit, and measure them at the largest amount greater than 50% likely to be realized. Changes in tax law or our interpretation of tax laws and the resolution of current and future tax audits could significantly impact the amounts provided for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t>income taxes in our statement of financial position and our statements of income. Our assumptions, judgments, and estimates relative to the value of our net deferred tax asset take into account predictions of the amount and category of future taxable income. Actual operating results and the underlying amount and category of income in future years could render our current assumptions, judgments, and estimates of recoverable net deferred taxes inaccurate, thus materially impacting our financial position and results of operations.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account for equity-based compensation in accordance with ASC 718, Compensation – Stock Compensation. See Note 2 for further information.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212529"/>
        </w:rPr>
        <w:t>We expense advertising costs as incurred. Advertising expense was $2.0 million in 2025, $1.8 million in 2024, and $2.4 million in 2023.</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i w:val="1"/>
          <w:iCs w:val="1"/>
          <w:color w:val="212529"/>
        </w:rPr>
        <w:t>etire</w:t>
      </w:r>
      <w:r>
        <w:rPr>
          <w:rFonts w:ascii="Times New Roman" w:cs="Times New Roman" w:eastAsia="Times New Roman" w:hAnsi="Times New Roman"/>
          <w:sz w:val="18"/>
          <w:szCs w:val="18"/>
          <w:i w:val="1"/>
          <w:iCs w:val="1"/>
          <w:color w:val="auto"/>
        </w:rPr>
        <w:t>ment of Repurchased Shares</w:t>
      </w:r>
    </w:p>
    <w:p>
      <w:pPr>
        <w:spacing w:after="0" w:line="119"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212529"/>
        </w:rPr>
        <w:t>We immediately retire shares repurchased pursuant to any share repurchase program. We allocate the share purchase price in excess of par value between additional paid-in capital and retained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Recent Accounting Pronouncements</w:t>
      </w:r>
    </w:p>
    <w:p>
      <w:pPr>
        <w:spacing w:after="0" w:line="121"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212529"/>
        </w:rPr>
        <w:t>In December 2023, the FASB issued ASU 2023-09, Income Taxes (Topic 740): Improvements to Income Tax Disclosures. The updated accounting guidance, among other things, requires additional disclosure primarily related to the income tax rate reconciliation and income taxes paid. We have adopted the new accounting guidance within our income tax disclosures in Note 3.</w:t>
      </w:r>
    </w:p>
    <w:p>
      <w:pPr>
        <w:spacing w:after="0" w:line="68"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212529"/>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We expect to adopt the updated accounting guidance in our Annual Report on Form 10-K for the year ended December 31, 2028 and for interim period reporting beginning in 2029, as required in ASU 2024-03 and further clarified by ASU 2025-01. The Company is currently evaluating the impact that the adoption of these standards will have on its consolidated financial statements and disclosures.</w:t>
      </w:r>
    </w:p>
    <w:p>
      <w:pPr>
        <w:spacing w:after="0" w:line="84" w:lineRule="exact"/>
        <w:rPr>
          <w:sz w:val="20"/>
          <w:szCs w:val="20"/>
          <w:color w:val="auto"/>
        </w:rPr>
      </w:pPr>
    </w:p>
    <w:p>
      <w:pPr>
        <w:jc w:val="both"/>
        <w:ind w:right="180" w:firstLine="255"/>
        <w:spacing w:after="0" w:line="255" w:lineRule="auto"/>
        <w:rPr>
          <w:sz w:val="20"/>
          <w:szCs w:val="20"/>
          <w:color w:val="auto"/>
        </w:rPr>
      </w:pPr>
      <w:r>
        <w:rPr>
          <w:rFonts w:ascii="Times New Roman" w:cs="Times New Roman" w:eastAsia="Times New Roman" w:hAnsi="Times New Roman"/>
          <w:sz w:val="18"/>
          <w:szCs w:val="18"/>
          <w:color w:val="212529"/>
        </w:rPr>
        <w:t>In September 2025, the FASB issued Accounting Standards Update No. 2025-06, Intangibles - Goodwill and Other - Internal-Use Software (Subtopic 350-40): Targeted Improvements to the Accounting for Internal-Use Software. ASU 2025-06 amends certain aspects of the accounting for and disclosure for internal-use software costs, which removes references to software development project stages and considers different software development methods, including methods that entities may use to develop software in the future. ASU 2025-06 requires an entity to capitalize software costs when: (1)</w:t>
      </w:r>
    </w:p>
    <w:p>
      <w:pPr>
        <w:spacing w:after="0" w:line="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212529"/>
        </w:rPr>
        <w:t>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ASU 2025-06 is effective for annual reporting periods beginning after December 15, 2027, and interim reporting periods within those annual reporting periods. The Company is currently evaluating the new guidance but does not expect material changes to results of operations, cash flows, or financial condition.</w:t>
      </w:r>
    </w:p>
    <w:p>
      <w:pPr>
        <w:spacing w:after="0" w:line="186" w:lineRule="exact"/>
        <w:rPr>
          <w:sz w:val="20"/>
          <w:szCs w:val="20"/>
          <w:color w:val="auto"/>
        </w:rPr>
      </w:pPr>
    </w:p>
    <w:p>
      <w:pPr>
        <w:ind w:right="8580" w:firstLine="8"/>
        <w:spacing w:after="0" w:line="378"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Equity Based Compensation Plans</w:t>
      </w: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In May 2020, the Manhattan Associates, Inc. 2020 Equity Incentive Plan (the “2020 Plan”) was approved by our shareholders. The 2020 Plan provides for the grant of stock options, restricted stock, restricted stock units, and stock appreciation rights. Vesting conditions can be service-based or performance-based, or a combination of both.</w:t>
      </w:r>
    </w:p>
    <w:p>
      <w:pPr>
        <w:spacing w:after="0" w:line="68"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A maximum of 4,500,000 shares are available for grant under the amended 2020 Plan. Each stock option, stock appreciation right, restricted stock, or restricted stock unit granted is counted against the maximum share limitation as one share. Options and stock appreciation rights cannot have a term exceeding seven years. As of December 31, 2025, there were 1,763,469 shares available for issuance under the 2020 Plan. The 2020 Plan is administered by the Compensation Committee of the Board of Directors. The committee has the authority to interpret the provisions thereof.</w:t>
      </w:r>
    </w:p>
    <w:p>
      <w:pPr>
        <w:spacing w:after="0" w:line="72"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The restricted stock unit awards contain vesting provisions that are 50% service based and 50% performance based for employee awards and 100% service based for non-employee members of the Board of Directors (“Outside Directors”). The employee awards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spacing w:after="0" w:line="256" w:lineRule="auto"/>
        <w:rPr>
          <w:sz w:val="20"/>
          <w:szCs w:val="20"/>
          <w:color w:val="auto"/>
        </w:rPr>
      </w:pPr>
      <w:r>
        <w:rPr>
          <w:rFonts w:ascii="Times New Roman" w:cs="Times New Roman" w:eastAsia="Times New Roman" w:hAnsi="Times New Roman"/>
          <w:sz w:val="18"/>
          <w:szCs w:val="18"/>
          <w:color w:val="auto"/>
        </w:rPr>
        <w:t>have a four year vesting period, with the performance portion tied to annual revenue and operating income targets. The awards to Outside Directors have a one year vesting period. We recognize compensation cost for service-based restricted awards with graded vesting on a straight-line basis over the entire vesting period, with the amount of compensation cost recognized at any date at least equal to the portion of the grant-date value of the award that is vested at that date. For our performance-based restricted stock awards with graded vesting, we recognize compensation cost on an accelerated basis applying straight-line expensing for each separately vesting portion of each award. We utilize the price of our publicly traded shares to determine the fair value of restricted stock units on the grant date.</w:t>
      </w:r>
    </w:p>
    <w:p>
      <w:pPr>
        <w:sectPr>
          <w:pgSz w:w="11900" w:h="16838" w:orient="portrait"/>
          <w:cols w:equalWidth="0" w:num="1">
            <w:col w:w="11140"/>
          </w:cols>
          <w:pgMar w:left="320" w:top="1120" w:right="4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We present below a summary of changes in unvested units of restricted stock during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Outstanding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Outstanding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31" w:lineRule="exact"/>
        <w:rPr>
          <w:sz w:val="20"/>
          <w:szCs w:val="20"/>
          <w:color w:val="auto"/>
        </w:rPr>
      </w:pPr>
    </w:p>
    <w:p>
      <w:pPr>
        <w:jc w:val="right"/>
        <w:ind w:right="17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Number of Units</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5715</wp:posOffset>
            </wp:positionV>
            <wp:extent cx="16287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jc w:val="both"/>
        <w:ind w:left="620"/>
        <w:spacing w:after="0"/>
        <w:tabs>
          <w:tab w:leader="none" w:pos="1900" w:val="left"/>
        </w:tabs>
        <w:rPr>
          <w:sz w:val="20"/>
          <w:szCs w:val="20"/>
          <w:color w:val="auto"/>
        </w:rPr>
      </w:pPr>
      <w:r>
        <w:rPr>
          <w:rFonts w:ascii="Times New Roman" w:cs="Times New Roman" w:eastAsia="Times New Roman" w:hAnsi="Times New Roman"/>
          <w:sz w:val="18"/>
          <w:szCs w:val="18"/>
          <w:color w:val="auto"/>
        </w:rPr>
        <w:t>1,390,238</w:t>
      </w:r>
      <w:r>
        <w:rPr>
          <w:sz w:val="20"/>
          <w:szCs w:val="20"/>
          <w:color w:val="auto"/>
        </w:rPr>
        <w:tab/>
      </w:r>
      <w:r>
        <w:rPr>
          <w:rFonts w:ascii="Times New Roman" w:cs="Times New Roman" w:eastAsia="Times New Roman" w:hAnsi="Times New Roman"/>
          <w:sz w:val="18"/>
          <w:szCs w:val="18"/>
          <w:color w:val="auto"/>
        </w:rPr>
        <w:t>$155.61</w:t>
      </w:r>
    </w:p>
    <w:p>
      <w:pPr>
        <w:spacing w:after="0" w:line="23" w:lineRule="exact"/>
        <w:rPr>
          <w:sz w:val="20"/>
          <w:szCs w:val="20"/>
          <w:color w:val="auto"/>
        </w:rPr>
      </w:pPr>
    </w:p>
    <w:p>
      <w:pPr>
        <w:jc w:val="both"/>
        <w:ind w:left="760"/>
        <w:spacing w:after="0"/>
        <w:tabs>
          <w:tab w:leader="none" w:pos="2000" w:val="left"/>
        </w:tabs>
        <w:rPr>
          <w:sz w:val="20"/>
          <w:szCs w:val="20"/>
          <w:color w:val="auto"/>
        </w:rPr>
      </w:pPr>
      <w:r>
        <w:rPr>
          <w:rFonts w:ascii="Times New Roman" w:cs="Times New Roman" w:eastAsia="Times New Roman" w:hAnsi="Times New Roman"/>
          <w:sz w:val="18"/>
          <w:szCs w:val="18"/>
          <w:color w:val="auto"/>
        </w:rPr>
        <w:t>612,631</w:t>
      </w:r>
      <w:r>
        <w:rPr>
          <w:sz w:val="20"/>
          <w:szCs w:val="20"/>
          <w:color w:val="auto"/>
        </w:rPr>
        <w:tab/>
      </w:r>
      <w:r>
        <w:rPr>
          <w:rFonts w:ascii="Times New Roman" w:cs="Times New Roman" w:eastAsia="Times New Roman" w:hAnsi="Times New Roman"/>
          <w:sz w:val="18"/>
          <w:szCs w:val="18"/>
          <w:color w:val="auto"/>
        </w:rPr>
        <w:t>246.49</w:t>
      </w:r>
    </w:p>
    <w:p>
      <w:pPr>
        <w:spacing w:after="0" w:line="9" w:lineRule="exact"/>
        <w:rPr>
          <w:sz w:val="20"/>
          <w:szCs w:val="20"/>
          <w:color w:val="auto"/>
        </w:rPr>
      </w:pPr>
    </w:p>
    <w:p>
      <w:pPr>
        <w:jc w:val="both"/>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(566,860)</w:t>
      </w:r>
      <w:r>
        <w:rPr>
          <w:sz w:val="20"/>
          <w:szCs w:val="20"/>
          <w:color w:val="auto"/>
        </w:rPr>
        <w:tab/>
      </w:r>
      <w:r>
        <w:rPr>
          <w:rFonts w:ascii="Times New Roman" w:cs="Times New Roman" w:eastAsia="Times New Roman" w:hAnsi="Times New Roman"/>
          <w:sz w:val="18"/>
          <w:szCs w:val="18"/>
          <w:color w:val="auto"/>
        </w:rPr>
        <w:t>150.65</w:t>
      </w:r>
    </w:p>
    <w:p>
      <w:pPr>
        <w:spacing w:after="0" w:line="9" w:lineRule="exact"/>
        <w:rPr>
          <w:sz w:val="20"/>
          <w:szCs w:val="20"/>
          <w:color w:val="auto"/>
        </w:rPr>
      </w:pPr>
    </w:p>
    <w:p>
      <w:pPr>
        <w:jc w:val="both"/>
        <w:ind w:left="720"/>
        <w:spacing w:after="0"/>
        <w:tabs>
          <w:tab w:leader="none" w:pos="2000" w:val="left"/>
        </w:tabs>
        <w:rPr>
          <w:sz w:val="20"/>
          <w:szCs w:val="20"/>
          <w:color w:val="auto"/>
        </w:rPr>
      </w:pPr>
      <w:r>
        <w:rPr>
          <w:rFonts w:ascii="Times New Roman" w:cs="Times New Roman" w:eastAsia="Times New Roman" w:hAnsi="Times New Roman"/>
          <w:sz w:val="18"/>
          <w:szCs w:val="18"/>
          <w:color w:val="auto"/>
        </w:rPr>
        <w:t>(39,068)</w:t>
      </w:r>
      <w:r>
        <w:rPr>
          <w:sz w:val="20"/>
          <w:szCs w:val="20"/>
          <w:color w:val="auto"/>
        </w:rPr>
        <w:tab/>
      </w:r>
      <w:r>
        <w:rPr>
          <w:rFonts w:ascii="Times New Roman" w:cs="Times New Roman" w:eastAsia="Times New Roman" w:hAnsi="Times New Roman"/>
          <w:sz w:val="18"/>
          <w:szCs w:val="18"/>
          <w:color w:val="auto"/>
        </w:rPr>
        <w:t>177.84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5715</wp:posOffset>
            </wp:positionV>
            <wp:extent cx="8826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1,396,941</w:t>
      </w:r>
    </w:p>
    <w:p>
      <w:pPr>
        <w:spacing w:after="0" w:line="235" w:lineRule="exact"/>
        <w:rPr>
          <w:sz w:val="20"/>
          <w:szCs w:val="20"/>
          <w:color w:val="auto"/>
        </w:rPr>
      </w:pPr>
    </w:p>
    <w:p>
      <w:pPr>
        <w:sectPr>
          <w:pgSz w:w="11900" w:h="16838" w:orient="portrait"/>
          <w:cols w:equalWidth="0" w:num="2">
            <w:col w:w="6780" w:space="260"/>
            <w:col w:w="4100"/>
          </w:cols>
          <w:pgMar w:left="320" w:top="1120" w:right="439" w:bottom="1440" w:gutter="0" w:footer="0" w:header="0"/>
          <w:type w:val="continuous"/>
        </w:sectPr>
      </w:pPr>
    </w:p>
    <w:p>
      <w:pPr>
        <w:spacing w:after="0" w:line="25"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Company recorded equity-based compensation expense related to restricted stock and RSUs (collectively “restricted stock awards”) of $111.3 million, $93.2 million, and $71.6 million in 2025, 2024, and 2023, respectively. The total fair value of restricted stock awards vested in 2025, 2024, and 2023, based on market value at the vesting dates was $115.2 million, $127.1 million, $85.2 million, respectively. The weighted average grant-date fair value of RSUs granted during fiscal year 2025, 2024, and 2023 was $246.49, $201.54, and $127.51, respectively. As of December 31, 2025, unrecognized compensation cost related to unvested RSU totaled $144.4 million and is expected to be recognized over a weighted average period of approximately 2.3 years. We recognize forfeitures of equity-based payments as they occur.</w:t>
      </w:r>
    </w:p>
    <w:p>
      <w:pPr>
        <w:spacing w:after="0" w:line="79"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364,411 RSUs that have performance-based vesting criteria, which are tied to our financial performance. The performance-based RSUs granted in 2025 related to 2025 employee awards and 2024 above-target employee awards. As of December 31, 2025, the associated equity-based compensation expense has been recognized for the portion of the award attributable to the 2025 performance criteria.</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3. Income Taxes</w:t>
      </w:r>
    </w:p>
    <w:p>
      <w:pPr>
        <w:spacing w:after="0" w:line="22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are subject to future federal, state, and foreign income taxes and have recorded net deferred tax assets on the Consolidated Balance Sheets at December 31, 2025 and 2024. Deferred tax assets and liabilities are determined based on the difference between the financial accounting and tax bases of assets and liabilities. We present below significant components of our deferred tax assets and liabilities as of December 31, 2025 and 2024 are as follows (in thousands):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18,687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R&amp;D costs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sales taxes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State tax credits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2,958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Foreign subsidiary net operating losses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Tax credit - foreign</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5,564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09"/>
        </w:trPr>
        <w:tc>
          <w:tcPr>
            <w:tcW w:w="40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109,016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121,092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7,440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10,705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26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75,900</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94,505</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-316230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present below income from domestic and foreign operations before income tax expense for the years ended December 31, 2025, 2024 and 2023 are as follows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10"/>
        </w:trPr>
        <w:tc>
          <w:tcPr>
            <w:tcW w:w="30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Domestic</w:t>
            </w:r>
          </w:p>
        </w:tc>
        <w:tc>
          <w:tcPr>
            <w:tcW w:w="252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263,439</w:t>
            </w:r>
          </w:p>
        </w:tc>
        <w:tc>
          <w:tcPr>
            <w:tcW w:w="42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240,871</w:t>
            </w:r>
          </w:p>
        </w:tc>
        <w:tc>
          <w:tcPr>
            <w:tcW w:w="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193,727</w:t>
            </w:r>
          </w:p>
        </w:tc>
        <w:tc>
          <w:tcPr>
            <w:tcW w:w="80" w:type="dxa"/>
            <w:vAlign w:val="bottom"/>
            <w:shd w:val="clear" w:color="auto" w:fill="CCFFC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80" w:type="dxa"/>
            <w:vAlign w:val="bottom"/>
          </w:tcPr>
          <w:p>
            <w:pPr>
              <w:spacing w:after="0"/>
              <w:rPr>
                <w:sz w:val="18"/>
                <w:szCs w:val="18"/>
                <w:color w:val="auto"/>
              </w:rPr>
            </w:pPr>
          </w:p>
        </w:tc>
      </w:tr>
      <w:tr>
        <w:trPr>
          <w:trHeight w:val="230"/>
        </w:trPr>
        <w:tc>
          <w:tcPr>
            <w:tcW w:w="300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285,894</w:t>
            </w:r>
          </w:p>
        </w:tc>
        <w:tc>
          <w:tcPr>
            <w:tcW w:w="20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266,814</w:t>
            </w:r>
          </w:p>
        </w:tc>
        <w:tc>
          <w:tcPr>
            <w:tcW w:w="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213,671</w:t>
            </w:r>
          </w:p>
        </w:tc>
        <w:tc>
          <w:tcPr>
            <w:tcW w:w="80" w:type="dxa"/>
            <w:vAlign w:val="bottom"/>
            <w:shd w:val="clear" w:color="auto" w:fill="CCFFCC"/>
          </w:tcPr>
          <w:p>
            <w:pPr>
              <w:spacing w:after="0"/>
              <w:rPr>
                <w:sz w:val="19"/>
                <w:szCs w:val="19"/>
                <w:color w:val="auto"/>
              </w:rPr>
            </w:pPr>
          </w:p>
        </w:tc>
      </w:tr>
      <w:tr>
        <w:trPr>
          <w:trHeight w:val="20"/>
        </w:trPr>
        <w:tc>
          <w:tcPr>
            <w:tcW w:w="300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present below cash paid for taxes for U.S. federal, U.S. state, and foreign operations for the years ended December 31, 2025, 2024 and 2023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0"/>
        </w:trPr>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2300" w:type="dxa"/>
            <w:vAlign w:val="bottom"/>
            <w:gridSpan w:val="2"/>
            <w:shd w:val="clear" w:color="auto" w:fill="CCFFCC"/>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31,155</w:t>
            </w:r>
          </w:p>
        </w:tc>
        <w:tc>
          <w:tcPr>
            <w:tcW w:w="3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64,759</w:t>
            </w:r>
          </w:p>
        </w:tc>
        <w:tc>
          <w:tcPr>
            <w:tcW w:w="760" w:type="dxa"/>
            <w:vAlign w:val="bottom"/>
            <w:gridSpan w:val="2"/>
            <w:shd w:val="clear" w:color="auto" w:fill="CCFFC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49,725</w:t>
            </w:r>
          </w:p>
        </w:tc>
        <w:tc>
          <w:tcPr>
            <w:tcW w:w="100" w:type="dxa"/>
            <w:vAlign w:val="bottom"/>
            <w:shd w:val="clear" w:color="auto" w:fill="CCFFCC"/>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68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CCFFCC"/>
            </w:tcBorders>
            <w:shd w:val="clear" w:color="auto" w:fill="CCFFCC"/>
          </w:tcPr>
          <w:p>
            <w:pPr>
              <w:spacing w:after="0"/>
              <w:rPr>
                <w:sz w:val="18"/>
                <w:szCs w:val="18"/>
                <w:color w:val="auto"/>
              </w:rPr>
            </w:pPr>
          </w:p>
        </w:tc>
        <w:tc>
          <w:tcPr>
            <w:tcW w:w="162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1,397</w:t>
            </w:r>
          </w:p>
        </w:tc>
        <w:tc>
          <w:tcPr>
            <w:tcW w:w="2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2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00" w:type="dxa"/>
            <w:vAlign w:val="bottom"/>
            <w:tcBorders>
              <w:bottom w:val="single" w:sz="8" w:color="CCFFCC"/>
            </w:tcBorders>
            <w:shd w:val="clear" w:color="auto" w:fill="CCFFCC"/>
          </w:tcPr>
          <w:p>
            <w:pPr>
              <w:spacing w:after="0"/>
              <w:rPr>
                <w:sz w:val="18"/>
                <w:szCs w:val="18"/>
                <w:color w:val="auto"/>
              </w:rPr>
            </w:pPr>
          </w:p>
        </w:tc>
        <w:tc>
          <w:tcPr>
            <w:tcW w:w="560" w:type="dxa"/>
            <w:vAlign w:val="bottom"/>
            <w:tcBorders>
              <w:bottom w:val="single" w:sz="8" w:color="auto"/>
            </w:tcBorders>
            <w:shd w:val="clear" w:color="auto" w:fill="CCFFCC"/>
          </w:tcPr>
          <w:p>
            <w:pPr>
              <w:spacing w:after="0"/>
              <w:rPr>
                <w:sz w:val="18"/>
                <w:szCs w:val="18"/>
                <w:color w:val="auto"/>
              </w:rPr>
            </w:pPr>
          </w:p>
        </w:tc>
        <w:tc>
          <w:tcPr>
            <w:tcW w:w="1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bottom w:val="single" w:sz="8" w:color="CCFFCC"/>
            </w:tcBorders>
            <w:shd w:val="clear" w:color="auto" w:fill="CCFFCC"/>
          </w:tcPr>
          <w:p>
            <w:pPr>
              <w:spacing w:after="0"/>
              <w:rPr>
                <w:sz w:val="18"/>
                <w:szCs w:val="18"/>
                <w:color w:val="auto"/>
              </w:rPr>
            </w:pPr>
          </w:p>
        </w:tc>
        <w:tc>
          <w:tcPr>
            <w:tcW w:w="780" w:type="dxa"/>
            <w:vAlign w:val="bottom"/>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0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47,271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83,403</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-1010920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-1010920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-1010920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9" w:name="page60"/>
    <w:bookmarkEnd w:id="59"/>
    <w:p>
      <w:pPr>
        <w:ind w:left="260"/>
        <w:spacing w:after="0"/>
        <w:rPr>
          <w:sz w:val="20"/>
          <w:szCs w:val="20"/>
          <w:color w:val="auto"/>
        </w:rPr>
      </w:pPr>
      <w:r>
        <w:rPr>
          <w:rFonts w:ascii="Times New Roman" w:cs="Times New Roman" w:eastAsia="Times New Roman" w:hAnsi="Times New Roman"/>
          <w:sz w:val="18"/>
          <w:szCs w:val="18"/>
          <w:color w:val="auto"/>
        </w:rPr>
        <w:t>The components of our income tax provision for the years ended December 31, 2025, 2024 and 2023 are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Federal</w:t>
            </w:r>
          </w:p>
        </w:tc>
        <w:tc>
          <w:tcPr>
            <w:tcW w:w="2500" w:type="dxa"/>
            <w:vAlign w:val="bottom"/>
            <w:gridSpan w:val="2"/>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28,729</w:t>
            </w:r>
          </w:p>
        </w:tc>
        <w:tc>
          <w:tcPr>
            <w:tcW w:w="20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54,761</w:t>
            </w:r>
          </w:p>
        </w:tc>
        <w:tc>
          <w:tcPr>
            <w:tcW w:w="12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46,497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7,553</w:t>
            </w:r>
          </w:p>
        </w:tc>
        <w:tc>
          <w:tcPr>
            <w:tcW w:w="200" w:type="dxa"/>
            <w:vAlign w:val="bottom"/>
            <w:tcBorders>
              <w:bottom w:val="single" w:sz="8" w:color="CCFFCC"/>
              <w:right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47,604</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77,139</w:t>
            </w:r>
          </w:p>
        </w:tc>
        <w:tc>
          <w:tcPr>
            <w:tcW w:w="12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2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16,566</w:t>
            </w:r>
          </w:p>
        </w:tc>
        <w:tc>
          <w:tcPr>
            <w:tcW w:w="200" w:type="dxa"/>
            <w:vAlign w:val="bottom"/>
            <w:tcBorders>
              <w:right w:val="single" w:sz="8" w:color="CCFFCC"/>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(23,777)</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(23,116)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3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(1,107)</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0"/>
        </w:trPr>
        <w:tc>
          <w:tcPr>
            <w:tcW w:w="3020" w:type="dxa"/>
            <w:vAlign w:val="bottom"/>
            <w:shd w:val="clear" w:color="auto" w:fill="CCFFCC"/>
          </w:tcPr>
          <w:p>
            <w:pPr>
              <w:spacing w:after="0" w:line="20" w:lineRule="exact"/>
              <w:rPr>
                <w:sz w:val="1"/>
                <w:szCs w:val="1"/>
                <w:color w:val="auto"/>
              </w:rPr>
            </w:pPr>
          </w:p>
        </w:tc>
        <w:tc>
          <w:tcPr>
            <w:tcW w:w="22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(28,844)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65,946</w:t>
            </w:r>
          </w:p>
        </w:tc>
        <w:tc>
          <w:tcPr>
            <w:tcW w:w="200" w:type="dxa"/>
            <w:vAlign w:val="bottom"/>
            <w:tcBorders>
              <w:right w:val="single" w:sz="8" w:color="CCFFCC"/>
            </w:tcBorders>
            <w:shd w:val="clear" w:color="auto" w:fill="CCFFCC"/>
          </w:tcPr>
          <w:p>
            <w:pPr>
              <w:spacing w:after="0"/>
              <w:rPr>
                <w:sz w:val="19"/>
                <w:szCs w:val="19"/>
                <w:color w:val="auto"/>
              </w:rPr>
            </w:pPr>
          </w:p>
        </w:tc>
        <w:tc>
          <w:tcPr>
            <w:tcW w:w="22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120" w:type="dxa"/>
            <w:vAlign w:val="bottom"/>
            <w:shd w:val="clear" w:color="auto" w:fill="CCFFCC"/>
          </w:tcPr>
          <w:p>
            <w:pPr>
              <w:spacing w:after="0"/>
              <w:rPr>
                <w:sz w:val="19"/>
                <w:szCs w:val="19"/>
                <w:color w:val="auto"/>
              </w:rPr>
            </w:pPr>
          </w:p>
        </w:tc>
        <w:tc>
          <w:tcPr>
            <w:tcW w:w="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37,103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FFCC"/>
            </w:tcBorders>
            <w:shd w:val="clear" w:color="auto" w:fill="CCFFCC"/>
          </w:tcPr>
          <w:p>
            <w:pPr>
              <w:spacing w:after="0" w:line="20" w:lineRule="exact"/>
              <w:rPr>
                <w:sz w:val="1"/>
                <w:szCs w:val="1"/>
                <w:color w:val="auto"/>
              </w:rPr>
            </w:pPr>
          </w:p>
        </w:tc>
        <w:tc>
          <w:tcPr>
            <w:tcW w:w="22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-1010920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-1010920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-316230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-316230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currently have a tax holiday in India under the Special Economic Zone Act through March 2029. As a result of this holiday, we had pre-tax income of approximately $18.3 million, for the year ended December 31, 2025, $9.1 million of which was not subject to tax. The impact on diluted earnings per share if the income had been fully taxable would have been a decrease of $0.05 per share in 2025.</w:t>
      </w:r>
    </w:p>
    <w:p>
      <w:pPr>
        <w:spacing w:after="0" w:line="176"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We have tax credit carry-forwards of approximately $3.7 million available to offset future state tax. These tax credit carry-forwards expire in 2028 to 2036. These credits represent a deferred tax asset of $3.0 million after consideration of the federal benefit of state tax deductions. We have foreign operating loss carry-forwards of approximately $0.1 million available to offset future foreign tax, which expire in 2030. A valuation allowance of $2.0 million has been established for these credits because the ability to use them is not more likely than not. We also have a tax credit carry-forward of approximately $5.6 million available to offset future foreign tax. This tax credit carryforward begins expiring in 2037.</w:t>
      </w:r>
    </w:p>
    <w:p>
      <w:pPr>
        <w:spacing w:after="0" w:line="18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Company asserts permanent reinvestment on undistributed foreign earnings. The undistributed earnings and profits are considered previously taxed income and would not be subject to U.S. income taxes upon repatriation of those earnings, in the form of dividends. As the undistributed earnings and profits are considered to be permanently reinvested, no provision for local withholdings taxes have been provided, however, upon repatriation of those earnings, in the form of dividends, we could be subject to additional local withholding taxes.</w:t>
      </w:r>
    </w:p>
    <w:p>
      <w:pPr>
        <w:spacing w:after="0" w:line="180"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includes significant changes to U.S. corporate tax provisions of the Tax Cuts and Jobs Act. Notably, it allows an immediate deduction for domestic research and development expenditures, reinstates 100% bonus depreciation, and modifies international tax provisions. The acceleration of the deduction for domestic research and development expenditures reduces our cash taxes owed for 2025 and 2026.</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0" w:name="page61"/>
    <w:bookmarkEnd w:id="60"/>
    <w:p>
      <w:pPr>
        <w:ind w:firstLine="255"/>
        <w:spacing w:after="0" w:line="282" w:lineRule="auto"/>
        <w:rPr>
          <w:sz w:val="20"/>
          <w:szCs w:val="20"/>
          <w:color w:val="auto"/>
        </w:rPr>
      </w:pPr>
      <w:r>
        <w:rPr>
          <w:rFonts w:ascii="Times New Roman" w:cs="Times New Roman" w:eastAsia="Times New Roman" w:hAnsi="Times New Roman"/>
          <w:sz w:val="18"/>
          <w:szCs w:val="18"/>
          <w:color w:val="auto"/>
        </w:rPr>
        <w:t>We present below a summary of the items that cause recorded income taxes to differ from taxes computed using the statutory federal income tax rate for the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r>
      <w:tr>
        <w:trPr>
          <w:trHeight w:val="209"/>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U.S. Statutory federal income tax rate:</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60,038</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56,031</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44,871</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194"/>
        </w:trPr>
        <w:tc>
          <w:tcPr>
            <w:tcW w:w="4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Effect*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0"/>
                <w:szCs w:val="20"/>
                <w:color w:val="auto"/>
              </w:rPr>
            </w:pPr>
          </w:p>
        </w:tc>
      </w:tr>
      <w:tr>
        <w:trPr>
          <w:trHeight w:val="216"/>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State</w:t>
            </w: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FFC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subject to tax holiday</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(4,244)</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(4,185)</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2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2,544</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FFCC"/>
          </w:tcPr>
          <w:p>
            <w:pPr>
              <w:spacing w:after="0"/>
              <w:rPr>
                <w:sz w:val="18"/>
                <w:szCs w:val="18"/>
                <w:color w:val="auto"/>
              </w:rPr>
            </w:pP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r>
      <w:tr>
        <w:trPr>
          <w:trHeight w:val="194"/>
        </w:trPr>
        <w:tc>
          <w:tcPr>
            <w:tcW w:w="4240" w:type="dxa"/>
            <w:vAlign w:val="bottom"/>
            <w:shd w:val="clear" w:color="auto" w:fill="CCFF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Effect of Changes in Tax Rates or Laws Enacted in</w:t>
            </w:r>
          </w:p>
        </w:tc>
        <w:tc>
          <w:tcPr>
            <w:tcW w:w="12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280" w:type="dxa"/>
            <w:vAlign w:val="bottom"/>
            <w:tcBorders>
              <w:righ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r>
      <w:tr>
        <w:trPr>
          <w:trHeight w:val="238"/>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Current Period</w:t>
            </w:r>
          </w:p>
        </w:tc>
        <w:tc>
          <w:tcPr>
            <w:tcW w:w="1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(165)</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FFCC"/>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(3,782)</w:t>
            </w:r>
          </w:p>
        </w:tc>
        <w:tc>
          <w:tcPr>
            <w:tcW w:w="20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Cross Border-Tax Laws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(10,255)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(9,380)</w:t>
            </w:r>
          </w:p>
        </w:tc>
        <w:tc>
          <w:tcPr>
            <w:tcW w:w="20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(7,743)</w:t>
            </w: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r>
      <w:tr>
        <w:trPr>
          <w:trHeight w:val="216"/>
        </w:trPr>
        <w:tc>
          <w:tcPr>
            <w:tcW w:w="42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(5,729)</w:t>
            </w:r>
          </w:p>
        </w:tc>
        <w:tc>
          <w:tcPr>
            <w:tcW w:w="1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(5,332)</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equity compensation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r>
      <w:tr>
        <w:trPr>
          <w:trHeight w:val="216"/>
        </w:trPr>
        <w:tc>
          <w:tcPr>
            <w:tcW w:w="4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Tax benefit of equity compensation</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(6,080)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(13,104)</w:t>
            </w:r>
          </w:p>
        </w:tc>
        <w:tc>
          <w:tcPr>
            <w:tcW w:w="20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(6,800)</w:t>
            </w: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compensation limitation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6"/>
        </w:trPr>
        <w:tc>
          <w:tcPr>
            <w:tcW w:w="4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FFC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FFCC"/>
          </w:tcPr>
          <w:p>
            <w:pPr>
              <w:spacing w:after="0"/>
              <w:rPr>
                <w:sz w:val="18"/>
                <w:szCs w:val="18"/>
                <w:color w:val="auto"/>
              </w:rPr>
            </w:pPr>
          </w:p>
        </w:tc>
      </w:tr>
      <w:tr>
        <w:trPr>
          <w:trHeight w:val="20"/>
        </w:trPr>
        <w:tc>
          <w:tcPr>
            <w:tcW w:w="42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1289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111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2420" w:firstLine="8"/>
        <w:spacing w:after="0" w:line="282" w:lineRule="auto"/>
        <w:tabs>
          <w:tab w:leader="none" w:pos="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the following jurisdictions made up the majority (greater than 50 percent) of the tax effect in this category: California, Pennsylvania, New Jersey, Massachusetts</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for the years ended December 31, 2025, 2024 and 2023 (in thousands):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Unrecognized tax benefits at January 1,</w:t>
            </w:r>
          </w:p>
        </w:tc>
        <w:tc>
          <w:tcPr>
            <w:tcW w:w="7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(9,149)</w:t>
            </w:r>
          </w:p>
        </w:tc>
        <w:tc>
          <w:tcPr>
            <w:tcW w:w="300" w:type="dxa"/>
            <w:vAlign w:val="bottom"/>
            <w:gridSpan w:val="2"/>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(9,688)</w:t>
            </w:r>
          </w:p>
        </w:tc>
        <w:tc>
          <w:tcPr>
            <w:tcW w:w="3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(10,532)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amount of increases in unrecognized tax benefits as a</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result of tax positions taken during a prior period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6"/>
                <w:szCs w:val="16"/>
                <w:color w:val="auto"/>
              </w:rPr>
              <w:t>Gross amount of decreases in unrecognized tax benefits as a</w:t>
            </w:r>
          </w:p>
        </w:tc>
        <w:tc>
          <w:tcPr>
            <w:tcW w:w="5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1,456</w:t>
            </w:r>
          </w:p>
        </w:tc>
        <w:tc>
          <w:tcPr>
            <w:tcW w:w="1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ind w:left="240"/>
              <w:spacing w:after="0"/>
              <w:rPr>
                <w:sz w:val="20"/>
                <w:szCs w:val="20"/>
                <w:color w:val="auto"/>
              </w:rPr>
            </w:pPr>
            <w:r>
              <w:rPr>
                <w:rFonts w:ascii="Times New Roman" w:cs="Times New Roman" w:eastAsia="Times New Roman" w:hAnsi="Times New Roman"/>
                <w:sz w:val="16"/>
                <w:szCs w:val="16"/>
                <w:color w:val="auto"/>
              </w:rPr>
              <w:t>result of tax positions taken during a prior period</w:t>
            </w:r>
          </w:p>
        </w:tc>
        <w:tc>
          <w:tcPr>
            <w:tcW w:w="5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amount of increases in unrecognized tax benefits as a</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result of tax positions taken during the current period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6"/>
                <w:szCs w:val="16"/>
                <w:color w:val="auto"/>
              </w:rPr>
              <w:t>Reductions to unrecognized tax benefits relating to</w:t>
            </w:r>
          </w:p>
        </w:tc>
        <w:tc>
          <w:tcPr>
            <w:tcW w:w="5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6"/>
                <w:szCs w:val="16"/>
                <w:color w:val="auto"/>
              </w:rPr>
              <w:t>settlements with taxing authorities</w:t>
            </w:r>
          </w:p>
        </w:tc>
        <w:tc>
          <w:tcPr>
            <w:tcW w:w="5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Reductions to unrecognized tax benefits as a result of a lapse of</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2,509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the applicable statute of limitations</w:t>
            </w:r>
          </w:p>
        </w:tc>
        <w:tc>
          <w:tcPr>
            <w:tcW w:w="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Unrecognized tax benefits at December 31,</w:t>
            </w:r>
          </w:p>
        </w:tc>
        <w:tc>
          <w:tcPr>
            <w:tcW w:w="7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(12,119)</w:t>
            </w:r>
          </w:p>
        </w:tc>
        <w:tc>
          <w:tcPr>
            <w:tcW w:w="300" w:type="dxa"/>
            <w:vAlign w:val="bottom"/>
            <w:gridSpan w:val="2"/>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(9,149)</w:t>
            </w:r>
          </w:p>
        </w:tc>
        <w:tc>
          <w:tcPr>
            <w:tcW w:w="30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(9,688)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Our unrecognized tax benefits totaled $12.1 million and $9.1 million as of December 31, 2025 and 2024, respectively. Included in these amounts are unrecognized tax benefits totaling $11.2 million and $8.5 million as of December 31, 2025 and 2024, respectively, which, if recognized, would affect the effective tax rate.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1" w:name="page62"/>
    <w:bookmarkEnd w:id="61"/>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We recognize potential accrued interest and penalties related to unrecognized tax benefits within our global operations in income tax expense. For the years ended December 31, 2025, 2024 and 2023, the Company recognized the following income tax expense: $0.5 million, $0.6 million, and $0.1 million, respectively, for the potential payment of interest and penalties. Accrued interest and penalties were $0.8 million and $1.3 million for the years ended December 31, 2025 and 2024. We conduct business globally and, as a result, file income tax returns in the United State federal jurisdiction and in many state and foreign jurisdictions. We are generally no longer subject to U.S. federal, state, and local, or non-US income tax examinations for the years before 2015. Due to the expiration of statutes of limitations in multiple jurisdictions globally during 2027, the Company anticipates it is reasonably possible that unrecognized tax benefits may decrease by $1.6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Shareholders’ Equity</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During 2025, 2024, and 2023, we purchased 1,451,019, 986,555, and 1,204,328 shares of the Company’s common stock for $274.5 million, $241.6 million, and $166.0 million, respectively, through open market transactions as part of a publicly-announced share repurchase program. In January 2026, our Board of Directors replenished the Company’s share repurchase authority to an aggregate of $100.0 million of our common stock.</w:t>
      </w:r>
    </w:p>
    <w:p>
      <w:pPr>
        <w:spacing w:after="0" w:line="68" w:lineRule="exact"/>
        <w:rPr>
          <w:sz w:val="20"/>
          <w:szCs w:val="20"/>
          <w:color w:val="auto"/>
        </w:rPr>
      </w:pPr>
    </w:p>
    <w:p>
      <w:pPr>
        <w:ind w:right="200" w:firstLine="300"/>
        <w:spacing w:after="0" w:line="282" w:lineRule="auto"/>
        <w:rPr>
          <w:sz w:val="20"/>
          <w:szCs w:val="20"/>
          <w:color w:val="auto"/>
        </w:rPr>
      </w:pPr>
      <w:r>
        <w:rPr>
          <w:rFonts w:ascii="Times New Roman" w:cs="Times New Roman" w:eastAsia="Times New Roman" w:hAnsi="Times New Roman"/>
          <w:sz w:val="18"/>
          <w:szCs w:val="18"/>
          <w:color w:val="auto"/>
        </w:rPr>
        <w:t>We are subject to a 1% excise tax on stock repurchases as enacted by the United States Inflation Reduction Act which we include in the cost of stock repurchases as a reduction of shareholders’ equity. In 2025, we paid $1.6 million in excise tax related to 2024 repurchase and vesting activity.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Contingencies</w:t>
      </w:r>
    </w:p>
    <w:p>
      <w:pPr>
        <w:spacing w:after="0" w:line="121"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 and occasionally legal proceedings not in the ordinary course.</w:t>
      </w:r>
    </w:p>
    <w:p>
      <w:pPr>
        <w:spacing w:after="0" w:line="5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Many of our software products and services are critical to our customers’ business operations. Failures could result in claims against us for substantial damages, regardless of our level of responsibility for those failures. We attempt to limit contractually our liability for damages arising from product or service failures or our negligent acts or omissions, but there can be no absolute assurance that those limitations will be enforceable.</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Although litigation and other legal proceeding outcomes are difficult to predict, we do not believe we are a party to any legal proceeding the result of which is likely to have a material adverse impact on our business, financial position, results of operations, or cash flows. We expense legal costs associated with loss contingencies as we incur them. We record insurance recoveries when received.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other proceedings, we are currently party to the lawsuits described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February 25, 2025, an alleged Company shareholder filed a putative class action lawsuit, Prime v. Manhattan Associates, Inc., et al., No. 1:25-cv-00992-TRJ (N.D. Ga.), in the United States District Court for the Northern District of Georgia against the Company and certain of our current and former officers (the “Prime Action”). The complaint in the Prime Action alleged violations of Sections 10(b) and 20(a) of the Securities Exchange Act of 1934, as amended (the “Exchange Act”), and Rule 10b-5 promulgated under that act, based on purported materially false and misleading statements and omissions allegedly made by the defendants (the Company and named current and former officers) between October 22, 2024, and January 28, 2025. The complaint in the Prime Action sought class certification, unspecified monetary damages, and costs and attorneys’ fees. On April 15, 2025, another alleged Company shareholder filed a putative class action lawsuit, City of Orlando Police Officers’ Pension Fund v. Manhattan Associates, Inc., et al., No. 1:25-cv-02089-TRJ (N.D. Ga.), in the United States District Court for the Northern District of Georgia against the Company and certain of our current and former officers (the “City of Orlando Action”). The complaint in the City of Orlando Action alleged violations of Sections 10(b) and 20(a) of the Exchange Act and Rule 10b-5 based on purported materially false and misleading statements and omissions allegedly made by the defendants between July 24, 2024, and February 7, 2025. The factual allegations underlying the claims in the City of Orlando Action were similar to the factual allegations made in the Prime Action. The complaint in the City of Orlando Action sought class certification, unspecified monetary damages, and costs and attorneys’ fees. On May 2, 2025, the Court consolidated the two actions (the “Consolidated Action”), and on May 23, 2025, the Court appointed the plaintiffs in the City of Orlando Action as the lead plaintiffs in the Consolidated Action. On July 22, 2025, the lead plaintiffs filed their Amended Complaint, in which the securities law violations alleged are the same as those alleged in the original actions and the proposed class period is the same as in the City of Orlando action. The defendants deny the material allegations in the Consolidated Action, which is still in the early stages and has not yet been certified as a class action, and intend to defend themselves vigorously. The defendants filed a motion to dismiss the Consolidated Action on September 22, 2025, following which the plaintiffs filed their opposition on November 24, 2025, and the defendants filed their reply on December 22, 2025. The Court has set a hearing date on the motion for March 11, 2026. The Company maintains insurance that may cover defendants’ liability arising out of this litigation up to the policy limits and subject to meeting certain deductibles and to other terms and conditions. We are unable to predict the ultimate timing or outcome of, or reasonably estimate the possible losses or a range of possible losses resulting from, these proceedings.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Derivative Litigation</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September 22, 2025, a purported Company shareholder, Patrick Ayers, filed a shareholder derivative lawsuit, Ayers v. Capel, et al., No. 1:25-cv-05416-TRJ, in the United States District Court for the Northern District of Georgia (the “Ayers Action”). The Ayers Action names certain of the Company’s current and former officers and directors as defendants. The allegations in the Ayers Action overlap substantially with the allegations in the above-referenced Consolidated Action. The Ayers Action assert claims for alleged violations of the federal securities laws, breach of fiduciary duty, waste, and unjust enrichment. On October 14, 2025, the court entered an order staying the Ayers Action pending resolution of the motion to dismiss in the Consolidated Action. We are unable to predict the ultimate timing or outcome of, or reasonably estimate the possible losses or a range of possible losses resulting from, these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Employee Benefit Plan</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sponsor the Manhattan Associates 401(k) Plan and Trust (the “401(k) Plan”), a qualified profit sharing plan with a 401(k) feature covering substantially all our employees. Since 2012, we have provided a 50% matching contribution up to 6% of eligible compensation being contributed after the participant’s first year of employment. During the years ended December 31, 2025, 2024 and 2023, the Company expensed matching contributions to the 401(k) Plan of $8.9 million, $8.5 million, and $7.8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jc w:val="both"/>
        <w:ind w:right="340" w:firstLine="255"/>
        <w:spacing w:after="0" w:line="266" w:lineRule="auto"/>
        <w:rPr>
          <w:sz w:val="20"/>
          <w:szCs w:val="20"/>
          <w:color w:val="auto"/>
        </w:rPr>
      </w:pPr>
      <w:r>
        <w:rPr>
          <w:rFonts w:ascii="Times New Roman" w:cs="Times New Roman" w:eastAsia="Times New Roman" w:hAnsi="Times New Roman"/>
          <w:sz w:val="18"/>
          <w:szCs w:val="18"/>
          <w:color w:val="auto"/>
        </w:rPr>
        <w:t>We lease our facilities and some of our equipment under noncancelable operating lease arrangements that expire at various dates through 2036. The total operating lease liabilities for these leases at December 31, 2025 was approximately $61.1 million. For a few of our facility leases, we have certain options to extend the lease term for up to 10 years, at our sole discretion. We have no finance leases.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present below the operating lease right-of-use assets and lease liabilities as of December 31, 2025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81"/>
        </w:trPr>
        <w:tc>
          <w:tcPr>
            <w:tcW w:w="28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r>
      <w:tr>
        <w:trPr>
          <w:trHeight w:val="210"/>
        </w:trPr>
        <w:tc>
          <w:tcPr>
            <w:tcW w:w="28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CFFCC"/>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$50,443</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98"/>
        </w:trPr>
        <w:tc>
          <w:tcPr>
            <w:tcW w:w="2820" w:type="dxa"/>
            <w:vAlign w:val="bottom"/>
          </w:tcPr>
          <w:p>
            <w:pPr>
              <w:spacing w:after="0"/>
              <w:rPr>
                <w:sz w:val="17"/>
                <w:szCs w:val="17"/>
                <w:color w:val="auto"/>
              </w:rPr>
            </w:pPr>
          </w:p>
        </w:tc>
        <w:tc>
          <w:tcPr>
            <w:tcW w:w="38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 (included in</w:t>
            </w:r>
          </w:p>
        </w:tc>
        <w:tc>
          <w:tcPr>
            <w:tcW w:w="1800" w:type="dxa"/>
            <w:vAlign w:val="bottom"/>
            <w:shd w:val="clear" w:color="auto" w:fill="CCFFCC"/>
          </w:tcPr>
          <w:p>
            <w:pPr>
              <w:jc w:val="right"/>
              <w:spacing w:after="0" w:line="198" w:lineRule="exact"/>
              <w:rPr>
                <w:sz w:val="20"/>
                <w:szCs w:val="20"/>
                <w:color w:val="auto"/>
              </w:rPr>
            </w:pPr>
            <w:r>
              <w:rPr>
                <w:rFonts w:ascii="Times New Roman" w:cs="Times New Roman" w:eastAsia="Times New Roman" w:hAnsi="Times New Roman"/>
                <w:sz w:val="18"/>
                <w:szCs w:val="18"/>
                <w:color w:val="auto"/>
              </w:rPr>
              <w:t>$4,883</w:t>
            </w:r>
          </w:p>
        </w:tc>
        <w:tc>
          <w:tcPr>
            <w:tcW w:w="28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p>
        </w:tc>
        <w:tc>
          <w:tcPr>
            <w:tcW w:w="38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0" w:type="dxa"/>
            <w:vAlign w:val="bottom"/>
            <w:shd w:val="clear" w:color="auto" w:fill="CCFFCC"/>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2800" w:type="dxa"/>
            <w:vAlign w:val="bottom"/>
          </w:tcPr>
          <w:p>
            <w:pPr>
              <w:spacing w:after="0"/>
              <w:rPr>
                <w:sz w:val="18"/>
                <w:szCs w:val="18"/>
                <w:color w:val="auto"/>
              </w:rPr>
            </w:pPr>
          </w:p>
        </w:tc>
      </w:tr>
      <w:tr>
        <w:trPr>
          <w:trHeight w:val="249"/>
        </w:trPr>
        <w:tc>
          <w:tcPr>
            <w:tcW w:w="2820" w:type="dxa"/>
            <w:vAlign w:val="bottom"/>
          </w:tcPr>
          <w:p>
            <w:pPr>
              <w:spacing w:after="0"/>
              <w:rPr>
                <w:sz w:val="21"/>
                <w:szCs w:val="21"/>
                <w:color w:val="auto"/>
              </w:rPr>
            </w:pPr>
          </w:p>
        </w:tc>
        <w:tc>
          <w:tcPr>
            <w:tcW w:w="38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$61,063</w:t>
            </w:r>
          </w:p>
        </w:tc>
        <w:tc>
          <w:tcPr>
            <w:tcW w:w="2800" w:type="dxa"/>
            <w:vAlign w:val="bottom"/>
          </w:tcPr>
          <w:p>
            <w:pPr>
              <w:spacing w:after="0"/>
              <w:rPr>
                <w:sz w:val="21"/>
                <w:szCs w:val="21"/>
                <w:color w:val="auto"/>
              </w:rPr>
            </w:pPr>
          </w:p>
        </w:tc>
      </w:tr>
      <w:tr>
        <w:trPr>
          <w:trHeight w:val="521"/>
        </w:trPr>
        <w:tc>
          <w:tcPr>
            <w:tcW w:w="66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63</w:t>
            </w:r>
          </w:p>
        </w:tc>
        <w:tc>
          <w:tcPr>
            <w:tcW w:w="18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left="260"/>
        <w:spacing w:after="0"/>
        <w:rPr>
          <w:sz w:val="20"/>
          <w:szCs w:val="20"/>
          <w:color w:val="auto"/>
        </w:rPr>
      </w:pPr>
      <w:r>
        <w:rPr>
          <w:rFonts w:ascii="Times New Roman" w:cs="Times New Roman" w:eastAsia="Times New Roman" w:hAnsi="Times New Roman"/>
          <w:sz w:val="18"/>
          <w:szCs w:val="18"/>
          <w:color w:val="auto"/>
        </w:rPr>
        <w:t>Aggregate future minimum lease payments under noncancelable operating leases as of December 31, 2025 are as follows (in thousands):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9" w:lineRule="exact"/>
        <w:rPr>
          <w:sz w:val="20"/>
          <w:szCs w:val="20"/>
          <w:color w:val="auto"/>
        </w:rPr>
      </w:pPr>
    </w:p>
    <w:tbl>
      <w:tblPr>
        <w:tblLayout w:type="fixed"/>
        <w:tblInd w:w="2820" w:type="dxa"/>
        <w:tblCellMar>
          <w:top w:w="0" w:type="dxa"/>
          <w:left w:w="0" w:type="dxa"/>
          <w:bottom w:w="0" w:type="dxa"/>
          <w:right w:w="0" w:type="dxa"/>
        </w:tblCellMar>
      </w:tblPr>
      <w:tr>
        <w:trPr>
          <w:trHeight w:val="209"/>
        </w:trPr>
        <w:tc>
          <w:tcPr>
            <w:tcW w:w="47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80" w:type="dxa"/>
            <w:vAlign w:val="bottom"/>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80" w:type="dxa"/>
            <w:vAlign w:val="bottom"/>
          </w:tcPr>
          <w:p>
            <w:pPr>
              <w:spacing w:after="0"/>
              <w:rPr>
                <w:sz w:val="18"/>
                <w:szCs w:val="18"/>
                <w:color w:val="auto"/>
              </w:rPr>
            </w:pPr>
          </w:p>
        </w:tc>
      </w:tr>
      <w:tr>
        <w:trPr>
          <w:trHeight w:val="216"/>
        </w:trPr>
        <w:tc>
          <w:tcPr>
            <w:tcW w:w="4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80" w:type="dxa"/>
            <w:vAlign w:val="bottom"/>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80" w:type="dxa"/>
            <w:vAlign w:val="bottom"/>
          </w:tcPr>
          <w:p>
            <w:pPr>
              <w:spacing w:after="0"/>
              <w:rPr>
                <w:sz w:val="18"/>
                <w:szCs w:val="18"/>
                <w:color w:val="auto"/>
              </w:rPr>
            </w:pPr>
          </w:p>
        </w:tc>
      </w:tr>
      <w:tr>
        <w:trPr>
          <w:trHeight w:val="216"/>
        </w:trPr>
        <w:tc>
          <w:tcPr>
            <w:tcW w:w="4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80" w:type="dxa"/>
            <w:vAlign w:val="bottom"/>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37,103</w:t>
            </w:r>
          </w:p>
        </w:tc>
        <w:tc>
          <w:tcPr>
            <w:tcW w:w="80" w:type="dxa"/>
            <w:vAlign w:val="bottom"/>
          </w:tcPr>
          <w:p>
            <w:pPr>
              <w:spacing w:after="0"/>
              <w:rPr>
                <w:sz w:val="18"/>
                <w:szCs w:val="18"/>
                <w:color w:val="auto"/>
              </w:rPr>
            </w:pPr>
          </w:p>
        </w:tc>
      </w:tr>
      <w:tr>
        <w:trPr>
          <w:trHeight w:val="209"/>
        </w:trPr>
        <w:tc>
          <w:tcPr>
            <w:tcW w:w="47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20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80" w:type="dxa"/>
            <w:vAlign w:val="bottom"/>
            <w:shd w:val="clear" w:color="auto" w:fill="CCFFCC"/>
          </w:tcPr>
          <w:p>
            <w:pPr>
              <w:spacing w:after="0"/>
              <w:rPr>
                <w:sz w:val="18"/>
                <w:szCs w:val="18"/>
                <w:color w:val="auto"/>
              </w:rPr>
            </w:pPr>
          </w:p>
        </w:tc>
      </w:tr>
      <w:tr>
        <w:trPr>
          <w:trHeight w:val="216"/>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short-term leases</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47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(23,690)</w:t>
            </w:r>
          </w:p>
        </w:tc>
      </w:tr>
      <w:tr>
        <w:trPr>
          <w:trHeight w:val="209"/>
        </w:trPr>
        <w:tc>
          <w:tcPr>
            <w:tcW w:w="4700" w:type="dxa"/>
            <w:vAlign w:val="bottom"/>
            <w:tcBorders>
              <w:top w:val="single" w:sz="8" w:color="CCFFCC"/>
            </w:tcBorders>
          </w:tcPr>
          <w:p>
            <w:pPr>
              <w:ind w:left="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61,063</w:t>
            </w:r>
          </w:p>
        </w:tc>
        <w:tc>
          <w:tcPr>
            <w:tcW w:w="80" w:type="dxa"/>
            <w:vAlign w:val="bottom"/>
            <w:tcBorders>
              <w:top w:val="single" w:sz="8" w:color="CCFFCC"/>
            </w:tcBorders>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-170815</wp:posOffset>
            </wp:positionV>
            <wp:extent cx="431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are applying the practical expedient to not separate lease and non-lease components, which allows us to account for lease and non-lease components as a single lease component. The total lease cost in 2025 was $10.1 million, consisting of $9.8 million of operating lease costs and $0.3 million of short-term lease costs. The total lease cost in 2024 was $9.3 million, consisting of $9.0 million of operating lease costs, and $0.3 million of short-term lease costs. Total lease costs in 2023 were $8.1 million, consisting of $7.8 million of operating lease costs, and $0.3 million of short-term lease costs. Our variable lease cost during 2025, 2024 and 2023 were immaterial.</w:t>
      </w:r>
    </w:p>
    <w:p>
      <w:pPr>
        <w:spacing w:after="0" w:line="188"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6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8.9 years</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198"/>
        </w:trPr>
        <w:tc>
          <w:tcPr>
            <w:tcW w:w="53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Supplemental cash flow information - operating cash flows (in</w:t>
            </w:r>
          </w:p>
        </w:tc>
        <w:tc>
          <w:tcPr>
            <w:tcW w:w="4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r>
      <w:tr>
        <w:trPr>
          <w:trHeight w:val="234"/>
        </w:trPr>
        <w:tc>
          <w:tcPr>
            <w:tcW w:w="5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thousands):</w:t>
            </w:r>
          </w:p>
        </w:tc>
        <w:tc>
          <w:tcPr>
            <w:tcW w:w="46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r>
      <w:tr>
        <w:trPr>
          <w:trHeight w:val="216"/>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3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6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9,709</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manage our business by geographic segment and have three geographic reportable segments: the Americas (North, Latin and South America); Europe, the Middle East and Africa (EMEA); and Asia Pacific (APAC). All segments derive revenue from the sale and implementation of our supply chain commerce solutions. We operate in one operating segment (the Americas) because most of the Company's service offerings operate on the Manhattan platform and are deployed and sold in a nearly identical manner. The individual products sold by the segments are similar in nature and are all designed to help companies manage the effectiveness and efficiency of their supply chain commerce. We use the same accounting policies for each reportable segment. The chief operating decision maker (Chief Executive Officer) reviews the variances in each reportable segment’s operating income compared to prior periods and to budget on a monthly basis to evaluate performance and allocate resources (including employees, financial or capital).</w:t>
      </w:r>
    </w:p>
    <w:p>
      <w:pPr>
        <w:spacing w:after="0" w:line="18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Americas segment charges royalty fees to the other segments based on cloud subscriptions and software licenses sold by those reportable segments. The royalties, which totaled $26.0 million, $18.9 million, and $13.7 million in 2025, 2024, and 2023, respectively, are included in costs of revenue for each segment with a corresponding reduction in the America’s cost of revenue. The revenues represented below are from external customers only. The geography-based costs consist of costs for professional services personnel, direct sales and marketing expenses, infrastructure costs to support the employee and customer base, billing and financial systems, management and general and administrative support. There are certain corporate expenses included in the Americas segment that we do not charge to the other segments. Such expenses include research and development, stock compensation, certain marketing and general and administrative costs that support the global organization, and the amortization of acquired developed technology. Costs in the Americas’ segment include all research and development costs including the costs associated with our operations in India. Expense related to an unusual health insurance claim is included within "Operating expenses" within the Americas segment.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4" w:name="page65"/>
    <w:bookmarkEnd w:id="64"/>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In accordance with the segment reporting topic of the FASB Codification, we present below financial information by reportable segment for 2025, 2024, and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EMEA</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APAC</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EMEA</w:t>
            </w:r>
          </w:p>
        </w:tc>
        <w:tc>
          <w:tcPr>
            <w:tcW w:w="120" w:type="dxa"/>
            <w:vAlign w:val="bottom"/>
          </w:tcPr>
          <w:p>
            <w:pPr>
              <w:spacing w:after="0"/>
              <w:rPr>
                <w:sz w:val="17"/>
                <w:szCs w:val="17"/>
                <w:color w:val="auto"/>
              </w:rPr>
            </w:pPr>
          </w:p>
        </w:tc>
        <w:tc>
          <w:tcPr>
            <w:tcW w:w="88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APAC</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2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80" w:type="dxa"/>
            <w:vAlign w:val="bottom"/>
          </w:tcPr>
          <w:p>
            <w:pPr>
              <w:spacing w:after="0"/>
              <w:rPr>
                <w:sz w:val="17"/>
                <w:szCs w:val="17"/>
                <w:color w:val="auto"/>
              </w:rPr>
            </w:pPr>
          </w:p>
        </w:tc>
        <w:tc>
          <w:tcPr>
            <w:tcW w:w="21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Cloud subscriptions</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312,992</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80,161</w:t>
            </w:r>
          </w:p>
        </w:tc>
        <w:tc>
          <w:tcPr>
            <w:tcW w:w="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14,985</w:t>
            </w:r>
          </w:p>
        </w:tc>
        <w:tc>
          <w:tcPr>
            <w:tcW w:w="380" w:type="dxa"/>
            <w:vAlign w:val="bottom"/>
            <w:gridSpan w:val="3"/>
            <w:shd w:val="clear" w:color="auto" w:fill="CCFFC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408,138</w:t>
            </w:r>
          </w:p>
        </w:tc>
        <w:tc>
          <w:tcPr>
            <w:tcW w:w="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264,331</w:t>
            </w: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62,779</w:t>
            </w:r>
          </w:p>
        </w:tc>
        <w:tc>
          <w:tcPr>
            <w:tcW w:w="480" w:type="dxa"/>
            <w:vAlign w:val="bottom"/>
            <w:gridSpan w:val="2"/>
            <w:shd w:val="clear" w:color="auto" w:fill="CCFFC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10,093</w:t>
            </w:r>
          </w:p>
        </w:tc>
        <w:tc>
          <w:tcPr>
            <w:tcW w:w="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337,203</w:t>
            </w:r>
          </w:p>
        </w:tc>
        <w:tc>
          <w:tcPr>
            <w:tcW w:w="60" w:type="dxa"/>
            <w:vAlign w:val="bottom"/>
            <w:shd w:val="clear" w:color="auto" w:fill="CCFFCC"/>
          </w:tcPr>
          <w:p>
            <w:pPr>
              <w:spacing w:after="0"/>
              <w:rPr>
                <w:sz w:val="17"/>
                <w:szCs w:val="17"/>
                <w:color w:val="auto"/>
              </w:rPr>
            </w:pPr>
          </w:p>
        </w:tc>
        <w:tc>
          <w:tcPr>
            <w:tcW w:w="100" w:type="dxa"/>
            <w:vAlign w:val="bottom"/>
            <w:tcBorders>
              <w:left w:val="single" w:sz="8" w:color="CCFFCC"/>
            </w:tcBorders>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Software license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8,407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14,819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12,251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Maintenance</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102,415</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18,935</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8,622</w:t>
            </w: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129,972</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110,751</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18,349</w:t>
            </w:r>
          </w:p>
        </w:tc>
        <w:tc>
          <w:tcPr>
            <w:tcW w:w="1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5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9,204</w:t>
            </w: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138,304</w:t>
            </w:r>
          </w:p>
        </w:tc>
        <w:tc>
          <w:tcPr>
            <w:tcW w:w="60" w:type="dxa"/>
            <w:vAlign w:val="bottom"/>
            <w:shd w:val="clear" w:color="auto" w:fill="CCFFCC"/>
          </w:tcPr>
          <w:p>
            <w:pPr>
              <w:spacing w:after="0"/>
              <w:rPr>
                <w:sz w:val="17"/>
                <w:szCs w:val="17"/>
                <w:color w:val="auto"/>
              </w:rPr>
            </w:pPr>
          </w:p>
        </w:tc>
        <w:tc>
          <w:tcPr>
            <w:tcW w:w="100" w:type="dxa"/>
            <w:vAlign w:val="bottom"/>
            <w:tcBorders>
              <w:left w:val="single" w:sz="8" w:color="CCFFCC"/>
            </w:tcBorders>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364,731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107,531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30,782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503,044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389,550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Hardware</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24,647</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762</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25,419</w:t>
            </w:r>
          </w:p>
        </w:tc>
        <w:tc>
          <w:tcPr>
            <w:tcW w:w="2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25,603</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auto"/>
            </w:tcBorders>
            <w:shd w:val="clear" w:color="auto" w:fill="CCFFCC"/>
          </w:tcPr>
          <w:p>
            <w:pPr>
              <w:spacing w:after="0"/>
              <w:rPr>
                <w:sz w:val="17"/>
                <w:szCs w:val="17"/>
                <w:color w:val="auto"/>
              </w:rPr>
            </w:pPr>
          </w:p>
        </w:tc>
        <w:tc>
          <w:tcPr>
            <w:tcW w:w="52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26,243</w:t>
            </w:r>
          </w:p>
        </w:tc>
        <w:tc>
          <w:tcPr>
            <w:tcW w:w="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left w:val="single" w:sz="8" w:color="CCFFCC"/>
            </w:tcBorders>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810,426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215,796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55,170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1,081,392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802,486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1,042,352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2"/>
        </w:trPr>
        <w:tc>
          <w:tcPr>
            <w:tcW w:w="2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80" w:type="dxa"/>
            <w:vAlign w:val="bottom"/>
          </w:tcPr>
          <w:p>
            <w:pPr>
              <w:spacing w:after="0"/>
              <w:rPr>
                <w:sz w:val="17"/>
                <w:szCs w:val="17"/>
                <w:color w:val="auto"/>
              </w:rPr>
            </w:pPr>
          </w:p>
        </w:tc>
        <w:tc>
          <w:tcPr>
            <w:tcW w:w="21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342,652</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104,360</w:t>
            </w:r>
          </w:p>
        </w:tc>
        <w:tc>
          <w:tcPr>
            <w:tcW w:w="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25,327</w:t>
            </w: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472,339</w:t>
            </w:r>
          </w:p>
        </w:tc>
        <w:tc>
          <w:tcPr>
            <w:tcW w:w="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351,112</w:t>
            </w: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98,051</w:t>
            </w:r>
          </w:p>
        </w:tc>
        <w:tc>
          <w:tcPr>
            <w:tcW w:w="480" w:type="dxa"/>
            <w:vAlign w:val="bottom"/>
            <w:gridSpan w:val="2"/>
            <w:shd w:val="clear" w:color="auto" w:fill="CCFFC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21,817</w:t>
            </w: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470,980</w:t>
            </w:r>
          </w:p>
        </w:tc>
        <w:tc>
          <w:tcPr>
            <w:tcW w:w="60" w:type="dxa"/>
            <w:vAlign w:val="bottom"/>
            <w:shd w:val="clear" w:color="auto" w:fill="CCFFCC"/>
          </w:tcPr>
          <w:p>
            <w:pPr>
              <w:spacing w:after="0"/>
              <w:rPr>
                <w:sz w:val="17"/>
                <w:szCs w:val="17"/>
                <w:color w:val="auto"/>
              </w:rPr>
            </w:pPr>
          </w:p>
        </w:tc>
        <w:tc>
          <w:tcPr>
            <w:tcW w:w="100" w:type="dxa"/>
            <w:vAlign w:val="bottom"/>
            <w:tcBorders>
              <w:left w:val="single" w:sz="8" w:color="CCFFCC"/>
            </w:tcBorders>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291,862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22,598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319,999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278,803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5,404</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765</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6,317</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5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60" w:type="dxa"/>
            <w:vAlign w:val="bottom"/>
            <w:shd w:val="clear" w:color="auto" w:fill="CCFFCC"/>
          </w:tcPr>
          <w:p>
            <w:pPr>
              <w:spacing w:after="0"/>
              <w:rPr>
                <w:sz w:val="17"/>
                <w:szCs w:val="17"/>
                <w:color w:val="auto"/>
              </w:rPr>
            </w:pPr>
          </w:p>
        </w:tc>
        <w:tc>
          <w:tcPr>
            <w:tcW w:w="100" w:type="dxa"/>
            <w:vAlign w:val="bottom"/>
            <w:tcBorders>
              <w:left w:val="single" w:sz="8" w:color="CCFFCC"/>
            </w:tcBorders>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Restructuring expense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2,937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2,937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21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642,855</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127,723</w:t>
            </w: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31,014</w:t>
            </w:r>
          </w:p>
        </w:tc>
        <w:tc>
          <w:tcPr>
            <w:tcW w:w="2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801,592</w:t>
            </w:r>
          </w:p>
        </w:tc>
        <w:tc>
          <w:tcPr>
            <w:tcW w:w="2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635,143</w:t>
            </w:r>
          </w:p>
        </w:tc>
        <w:tc>
          <w:tcPr>
            <w:tcW w:w="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118,027</w:t>
            </w:r>
          </w:p>
        </w:tc>
        <w:tc>
          <w:tcPr>
            <w:tcW w:w="120" w:type="dxa"/>
            <w:vAlign w:val="bottom"/>
            <w:tcBorders>
              <w:bottom w:val="single" w:sz="8" w:color="CCFFCC"/>
            </w:tcBorders>
            <w:shd w:val="clear" w:color="auto" w:fill="CCFFCC"/>
          </w:tcPr>
          <w:p>
            <w:pPr>
              <w:spacing w:after="0"/>
              <w:rPr>
                <w:sz w:val="17"/>
                <w:szCs w:val="17"/>
                <w:color w:val="auto"/>
              </w:rPr>
            </w:pPr>
          </w:p>
        </w:tc>
        <w:tc>
          <w:tcPr>
            <w:tcW w:w="360" w:type="dxa"/>
            <w:vAlign w:val="bottom"/>
            <w:tcBorders>
              <w:bottom w:val="single" w:sz="8" w:color="auto"/>
            </w:tcBorders>
            <w:shd w:val="clear" w:color="auto" w:fill="CCFFCC"/>
          </w:tcPr>
          <w:p>
            <w:pPr>
              <w:spacing w:after="0"/>
              <w:rPr>
                <w:sz w:val="17"/>
                <w:szCs w:val="17"/>
                <w:color w:val="auto"/>
              </w:rPr>
            </w:pPr>
          </w:p>
        </w:tc>
        <w:tc>
          <w:tcPr>
            <w:tcW w:w="52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27,586</w:t>
            </w:r>
          </w:p>
        </w:tc>
        <w:tc>
          <w:tcPr>
            <w:tcW w:w="1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780,756</w:t>
            </w:r>
          </w:p>
        </w:tc>
        <w:tc>
          <w:tcPr>
            <w:tcW w:w="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left w:val="single" w:sz="8" w:color="CCFFCC"/>
            </w:tcBorders>
          </w:tcPr>
          <w:p>
            <w:pPr>
              <w:spacing w:after="0"/>
              <w:rPr>
                <w:sz w:val="17"/>
                <w:szCs w:val="17"/>
                <w:color w:val="auto"/>
              </w:rPr>
            </w:pPr>
          </w:p>
        </w:tc>
      </w:tr>
      <w:tr>
        <w:trPr>
          <w:trHeight w:val="196"/>
        </w:trPr>
        <w:tc>
          <w:tcPr>
            <w:tcW w:w="2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167,571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88,073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24,156</w:t>
            </w:r>
          </w:p>
        </w:tc>
        <w:tc>
          <w:tcPr>
            <w:tcW w:w="3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279,800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167,343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72,496</w:t>
            </w: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21,757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21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4,389</w:t>
            </w:r>
          </w:p>
        </w:tc>
        <w:tc>
          <w:tcPr>
            <w:tcW w:w="2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5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60" w:type="dxa"/>
            <w:vAlign w:val="bottom"/>
            <w:shd w:val="clear" w:color="auto" w:fill="CCFFCC"/>
          </w:tcPr>
          <w:p>
            <w:pPr>
              <w:spacing w:after="0"/>
              <w:rPr>
                <w:sz w:val="15"/>
                <w:szCs w:val="15"/>
                <w:color w:val="auto"/>
              </w:rPr>
            </w:pPr>
          </w:p>
        </w:tc>
        <w:tc>
          <w:tcPr>
            <w:tcW w:w="100" w:type="dxa"/>
            <w:vAlign w:val="bottom"/>
            <w:tcBorders>
              <w:left w:val="single" w:sz="8" w:color="CCFFCC"/>
            </w:tcBorders>
          </w:tcPr>
          <w:p>
            <w:pPr>
              <w:spacing w:after="0"/>
              <w:rPr>
                <w:sz w:val="15"/>
                <w:szCs w:val="15"/>
                <w:color w:val="auto"/>
              </w:rPr>
            </w:pPr>
          </w:p>
        </w:tc>
      </w:tr>
      <w:tr>
        <w:trPr>
          <w:trHeight w:val="203"/>
        </w:trPr>
        <w:tc>
          <w:tcPr>
            <w:tcW w:w="80" w:type="dxa"/>
            <w:vAlign w:val="bottom"/>
          </w:tcPr>
          <w:p>
            <w:pPr>
              <w:spacing w:after="0"/>
              <w:rPr>
                <w:sz w:val="17"/>
                <w:szCs w:val="17"/>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(loss) income,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21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80" w:type="dxa"/>
            <w:vAlign w:val="bottom"/>
            <w:gridSpan w:val="3"/>
            <w:shd w:val="clear" w:color="auto" w:fill="CCFFC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285,894</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266,814</w:t>
            </w:r>
          </w:p>
        </w:tc>
        <w:tc>
          <w:tcPr>
            <w:tcW w:w="60" w:type="dxa"/>
            <w:vAlign w:val="bottom"/>
            <w:shd w:val="clear" w:color="auto" w:fill="CCFFCC"/>
          </w:tcPr>
          <w:p>
            <w:pPr>
              <w:spacing w:after="0"/>
              <w:rPr>
                <w:sz w:val="18"/>
                <w:szCs w:val="18"/>
                <w:color w:val="auto"/>
              </w:rPr>
            </w:pPr>
          </w:p>
        </w:tc>
        <w:tc>
          <w:tcPr>
            <w:tcW w:w="100" w:type="dxa"/>
            <w:vAlign w:val="bottom"/>
            <w:tcBorders>
              <w:left w:val="single" w:sz="8" w:color="CCFFCC"/>
            </w:tcBorders>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left w:val="single" w:sz="8" w:color="CCFFCC"/>
            </w:tcBorders>
          </w:tcPr>
          <w:p>
            <w:pPr>
              <w:spacing w:after="0" w:line="20" w:lineRule="exact"/>
              <w:rPr>
                <w:sz w:val="1"/>
                <w:szCs w:val="1"/>
                <w:color w:val="auto"/>
              </w:rPr>
            </w:pPr>
          </w:p>
        </w:tc>
      </w:tr>
      <w:tr>
        <w:trPr>
          <w:trHeight w:val="488"/>
        </w:trPr>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EMEA</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APAC</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r>
      <w:tr>
        <w:trPr>
          <w:trHeight w:val="19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80" w:type="dxa"/>
            <w:vAlign w:val="bottom"/>
            <w:shd w:val="clear" w:color="auto" w:fill="CCFFCC"/>
          </w:tcPr>
          <w:p>
            <w:pPr>
              <w:spacing w:after="0"/>
              <w:rPr>
                <w:sz w:val="17"/>
                <w:szCs w:val="17"/>
                <w:color w:val="auto"/>
              </w:rPr>
            </w:pPr>
          </w:p>
        </w:tc>
        <w:tc>
          <w:tcPr>
            <w:tcW w:w="21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Cloud subscriptions</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80" w:type="dxa"/>
            <w:vAlign w:val="bottom"/>
            <w:gridSpan w:val="4"/>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205,611</w:t>
            </w:r>
          </w:p>
        </w:tc>
        <w:tc>
          <w:tcPr>
            <w:tcW w:w="840" w:type="dxa"/>
            <w:vAlign w:val="bottom"/>
            <w:gridSpan w:val="2"/>
            <w:shd w:val="clear" w:color="auto" w:fill="CCFFC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42,243</w:t>
            </w: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520" w:type="dxa"/>
            <w:vAlign w:val="bottom"/>
            <w:gridSpan w:val="2"/>
            <w:shd w:val="clear" w:color="auto" w:fill="CCFFC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254,612</w:t>
            </w:r>
          </w:p>
        </w:tc>
        <w:tc>
          <w:tcPr>
            <w:tcW w:w="100" w:type="dxa"/>
            <w:vAlign w:val="bottom"/>
            <w:tcBorders>
              <w:left w:val="single" w:sz="8" w:color="CCFFCC"/>
            </w:tcBorders>
            <w:shd w:val="clear" w:color="auto" w:fill="CCFFCC"/>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Software license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12,040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18,206</w:t>
            </w:r>
          </w:p>
        </w:tc>
        <w:tc>
          <w:tcPr>
            <w:tcW w:w="100" w:type="dxa"/>
            <w:vAlign w:val="bottom"/>
          </w:tcPr>
          <w:p>
            <w:pPr>
              <w:spacing w:after="0"/>
              <w:rPr>
                <w:sz w:val="17"/>
                <w:szCs w:val="17"/>
                <w:color w:val="auto"/>
              </w:rPr>
            </w:pPr>
          </w:p>
        </w:tc>
      </w:tr>
      <w:tr>
        <w:trPr>
          <w:trHeight w:val="203"/>
        </w:trPr>
        <w:tc>
          <w:tcPr>
            <w:tcW w:w="80" w:type="dxa"/>
            <w:vAlign w:val="bottom"/>
            <w:shd w:val="clear" w:color="auto" w:fill="CCFFCC"/>
          </w:tcPr>
          <w:p>
            <w:pPr>
              <w:spacing w:after="0"/>
              <w:rPr>
                <w:sz w:val="17"/>
                <w:szCs w:val="17"/>
                <w:color w:val="auto"/>
              </w:rPr>
            </w:pPr>
          </w:p>
        </w:tc>
        <w:tc>
          <w:tcPr>
            <w:tcW w:w="21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Maintenance</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80" w:type="dxa"/>
            <w:vAlign w:val="bottom"/>
            <w:gridSpan w:val="4"/>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114,963</w:t>
            </w: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19,721</w:t>
            </w: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9,252</w:t>
            </w:r>
          </w:p>
        </w:tc>
        <w:tc>
          <w:tcPr>
            <w:tcW w:w="1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143,936</w:t>
            </w:r>
          </w:p>
        </w:tc>
        <w:tc>
          <w:tcPr>
            <w:tcW w:w="100" w:type="dxa"/>
            <w:vAlign w:val="bottom"/>
            <w:tcBorders>
              <w:left w:val="single" w:sz="8" w:color="CCFFCC"/>
            </w:tcBorders>
            <w:shd w:val="clear" w:color="auto" w:fill="CCFFCC"/>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362,979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23,636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487,869</w:t>
            </w:r>
          </w:p>
        </w:tc>
        <w:tc>
          <w:tcPr>
            <w:tcW w:w="100" w:type="dxa"/>
            <w:vAlign w:val="bottom"/>
          </w:tcPr>
          <w:p>
            <w:pPr>
              <w:spacing w:after="0"/>
              <w:rPr>
                <w:sz w:val="17"/>
                <w:szCs w:val="17"/>
                <w:color w:val="auto"/>
              </w:rPr>
            </w:pPr>
          </w:p>
        </w:tc>
      </w:tr>
      <w:tr>
        <w:trPr>
          <w:trHeight w:val="203"/>
        </w:trPr>
        <w:tc>
          <w:tcPr>
            <w:tcW w:w="80" w:type="dxa"/>
            <w:vAlign w:val="bottom"/>
            <w:tcBorders>
              <w:bottom w:val="single" w:sz="8" w:color="CCFFCC"/>
            </w:tcBorders>
            <w:shd w:val="clear" w:color="auto" w:fill="CCFFCC"/>
          </w:tcPr>
          <w:p>
            <w:pPr>
              <w:spacing w:after="0"/>
              <w:rPr>
                <w:sz w:val="17"/>
                <w:szCs w:val="17"/>
                <w:color w:val="auto"/>
              </w:rPr>
            </w:pPr>
          </w:p>
        </w:tc>
        <w:tc>
          <w:tcPr>
            <w:tcW w:w="21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Hardware</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5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1180" w:type="dxa"/>
            <w:vAlign w:val="bottom"/>
            <w:tcBorders>
              <w:bottom w:val="single" w:sz="8" w:color="auto"/>
            </w:tcBorders>
            <w:gridSpan w:val="4"/>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23,602</w:t>
            </w:r>
          </w:p>
        </w:tc>
        <w:tc>
          <w:tcPr>
            <w:tcW w:w="10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spacing w:after="0"/>
              <w:rPr>
                <w:sz w:val="17"/>
                <w:szCs w:val="17"/>
                <w:color w:val="auto"/>
              </w:rPr>
            </w:pPr>
          </w:p>
        </w:tc>
        <w:tc>
          <w:tcPr>
            <w:tcW w:w="4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24,102</w:t>
            </w:r>
          </w:p>
        </w:tc>
        <w:tc>
          <w:tcPr>
            <w:tcW w:w="100" w:type="dxa"/>
            <w:vAlign w:val="bottom"/>
            <w:tcBorders>
              <w:left w:val="single" w:sz="8" w:color="CCFFCC"/>
              <w:bottom w:val="single" w:sz="8" w:color="CCFFCC"/>
            </w:tcBorders>
            <w:shd w:val="clear" w:color="auto" w:fill="CCFFCC"/>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719,195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42,892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928,725</w:t>
            </w:r>
          </w:p>
        </w:tc>
        <w:tc>
          <w:tcPr>
            <w:tcW w:w="100" w:type="dxa"/>
            <w:vAlign w:val="bottom"/>
          </w:tcPr>
          <w:p>
            <w:pPr>
              <w:spacing w:after="0"/>
              <w:rPr>
                <w:sz w:val="17"/>
                <w:szCs w:val="17"/>
                <w:color w:val="auto"/>
              </w:rPr>
            </w:pPr>
          </w:p>
        </w:tc>
      </w:tr>
      <w:tr>
        <w:trPr>
          <w:trHeight w:val="39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0" w:type="dxa"/>
            <w:vAlign w:val="bottom"/>
            <w:shd w:val="clear" w:color="auto" w:fill="CCFFCC"/>
          </w:tcPr>
          <w:p>
            <w:pPr>
              <w:spacing w:after="0"/>
              <w:rPr>
                <w:sz w:val="17"/>
                <w:szCs w:val="17"/>
                <w:color w:val="auto"/>
              </w:rPr>
            </w:pPr>
          </w:p>
        </w:tc>
        <w:tc>
          <w:tcPr>
            <w:tcW w:w="21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80" w:type="dxa"/>
            <w:vAlign w:val="bottom"/>
            <w:gridSpan w:val="4"/>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321,701</w:t>
            </w: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19,390</w:t>
            </w:r>
          </w:p>
        </w:tc>
        <w:tc>
          <w:tcPr>
            <w:tcW w:w="1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430,614</w:t>
            </w:r>
          </w:p>
        </w:tc>
        <w:tc>
          <w:tcPr>
            <w:tcW w:w="100" w:type="dxa"/>
            <w:vAlign w:val="bottom"/>
            <w:tcBorders>
              <w:left w:val="single" w:sz="8" w:color="CCFFCC"/>
            </w:tcBorders>
            <w:shd w:val="clear" w:color="auto" w:fill="CCFFCC"/>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257,172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282,478</w:t>
            </w:r>
          </w:p>
        </w:tc>
        <w:tc>
          <w:tcPr>
            <w:tcW w:w="100" w:type="dxa"/>
            <w:vAlign w:val="bottom"/>
          </w:tcPr>
          <w:p>
            <w:pPr>
              <w:spacing w:after="0"/>
              <w:rPr>
                <w:sz w:val="17"/>
                <w:szCs w:val="17"/>
                <w:color w:val="auto"/>
              </w:rPr>
            </w:pPr>
          </w:p>
        </w:tc>
      </w:tr>
      <w:tr>
        <w:trPr>
          <w:trHeight w:val="203"/>
        </w:trPr>
        <w:tc>
          <w:tcPr>
            <w:tcW w:w="80" w:type="dxa"/>
            <w:vAlign w:val="bottom"/>
            <w:shd w:val="clear" w:color="auto" w:fill="CCFFCC"/>
          </w:tcPr>
          <w:p>
            <w:pPr>
              <w:spacing w:after="0"/>
              <w:rPr>
                <w:sz w:val="17"/>
                <w:szCs w:val="17"/>
                <w:color w:val="auto"/>
              </w:rPr>
            </w:pPr>
          </w:p>
        </w:tc>
        <w:tc>
          <w:tcPr>
            <w:tcW w:w="21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8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4"/>
              </w:rPr>
              <w:t>5,164</w:t>
            </w: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5,752</w:t>
            </w:r>
          </w:p>
        </w:tc>
        <w:tc>
          <w:tcPr>
            <w:tcW w:w="100" w:type="dxa"/>
            <w:vAlign w:val="bottom"/>
            <w:tcBorders>
              <w:left w:val="single" w:sz="8" w:color="CCFFCC"/>
            </w:tcBorders>
            <w:shd w:val="clear" w:color="auto" w:fill="CCFFCC"/>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80" w:type="dxa"/>
            <w:vAlign w:val="bottom"/>
            <w:tcBorders>
              <w:bottom w:val="single" w:sz="8" w:color="CCFFCC"/>
            </w:tcBorders>
            <w:shd w:val="clear" w:color="auto" w:fill="CCFFCC"/>
          </w:tcPr>
          <w:p>
            <w:pPr>
              <w:spacing w:after="0"/>
              <w:rPr>
                <w:sz w:val="17"/>
                <w:szCs w:val="17"/>
                <w:color w:val="auto"/>
              </w:rPr>
            </w:pPr>
          </w:p>
        </w:tc>
        <w:tc>
          <w:tcPr>
            <w:tcW w:w="21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5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1180" w:type="dxa"/>
            <w:vAlign w:val="bottom"/>
            <w:tcBorders>
              <w:bottom w:val="single" w:sz="8" w:color="auto"/>
            </w:tcBorders>
            <w:gridSpan w:val="4"/>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584,037</w:t>
            </w:r>
          </w:p>
        </w:tc>
        <w:tc>
          <w:tcPr>
            <w:tcW w:w="10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109,915</w:t>
            </w:r>
          </w:p>
        </w:tc>
        <w:tc>
          <w:tcPr>
            <w:tcW w:w="1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spacing w:after="0"/>
              <w:rPr>
                <w:sz w:val="17"/>
                <w:szCs w:val="17"/>
                <w:color w:val="auto"/>
              </w:rPr>
            </w:pPr>
          </w:p>
        </w:tc>
        <w:tc>
          <w:tcPr>
            <w:tcW w:w="480" w:type="dxa"/>
            <w:vAlign w:val="bottom"/>
            <w:tcBorders>
              <w:bottom w:val="single" w:sz="8" w:color="auto"/>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24,892</w:t>
            </w:r>
          </w:p>
        </w:tc>
        <w:tc>
          <w:tcPr>
            <w:tcW w:w="12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718,844</w:t>
            </w:r>
          </w:p>
        </w:tc>
        <w:tc>
          <w:tcPr>
            <w:tcW w:w="100" w:type="dxa"/>
            <w:vAlign w:val="bottom"/>
            <w:tcBorders>
              <w:left w:val="single" w:sz="8" w:color="CCFFCC"/>
              <w:bottom w:val="single" w:sz="8" w:color="CCFFCC"/>
            </w:tcBorders>
            <w:shd w:val="clear" w:color="auto" w:fill="CCFFCC"/>
          </w:tcPr>
          <w:p>
            <w:pPr>
              <w:spacing w:after="0"/>
              <w:rPr>
                <w:sz w:val="17"/>
                <w:szCs w:val="17"/>
                <w:color w:val="auto"/>
              </w:rPr>
            </w:pPr>
          </w:p>
        </w:tc>
      </w:tr>
      <w:tr>
        <w:trPr>
          <w:trHeight w:val="196"/>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135,158</w:t>
            </w:r>
          </w:p>
        </w:tc>
        <w:tc>
          <w:tcPr>
            <w:tcW w:w="8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56,723</w:t>
            </w:r>
          </w:p>
        </w:tc>
        <w:tc>
          <w:tcPr>
            <w:tcW w:w="1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209,881</w:t>
            </w:r>
          </w:p>
        </w:tc>
        <w:tc>
          <w:tcPr>
            <w:tcW w:w="1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 w:type="dxa"/>
            <w:vAlign w:val="bottom"/>
            <w:shd w:val="clear" w:color="auto" w:fill="CCFFCC"/>
          </w:tcPr>
          <w:p>
            <w:pPr>
              <w:spacing w:after="0"/>
              <w:rPr>
                <w:sz w:val="15"/>
                <w:szCs w:val="15"/>
                <w:color w:val="auto"/>
              </w:rPr>
            </w:pPr>
          </w:p>
        </w:tc>
        <w:tc>
          <w:tcPr>
            <w:tcW w:w="212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5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5,304</w:t>
            </w:r>
          </w:p>
        </w:tc>
        <w:tc>
          <w:tcPr>
            <w:tcW w:w="100" w:type="dxa"/>
            <w:vAlign w:val="bottom"/>
            <w:tcBorders>
              <w:left w:val="single" w:sz="8" w:color="CCFFCC"/>
            </w:tcBorders>
            <w:shd w:val="clear" w:color="auto" w:fill="CCFFCC"/>
          </w:tcPr>
          <w:p>
            <w:pPr>
              <w:spacing w:after="0"/>
              <w:rPr>
                <w:sz w:val="15"/>
                <w:szCs w:val="15"/>
                <w:color w:val="auto"/>
              </w:rPr>
            </w:pPr>
          </w:p>
        </w:tc>
      </w:tr>
      <w:tr>
        <w:trPr>
          <w:trHeight w:val="203"/>
        </w:trPr>
        <w:tc>
          <w:tcPr>
            <w:tcW w:w="8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Other (loss) income,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(1,514)</w:t>
            </w:r>
          </w:p>
        </w:tc>
      </w:tr>
      <w:tr>
        <w:trPr>
          <w:trHeight w:val="20"/>
        </w:trPr>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2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213,671</w:t>
            </w:r>
          </w:p>
        </w:tc>
        <w:tc>
          <w:tcPr>
            <w:tcW w:w="100" w:type="dxa"/>
            <w:vAlign w:val="bottom"/>
            <w:tcBorders>
              <w:left w:val="single" w:sz="8" w:color="CCFFCC"/>
            </w:tcBorders>
            <w:shd w:val="clear" w:color="auto" w:fill="CCFFCC"/>
          </w:tcPr>
          <w:p>
            <w:pPr>
              <w:spacing w:after="0"/>
              <w:rPr>
                <w:sz w:val="18"/>
                <w:szCs w:val="18"/>
                <w:color w:val="auto"/>
              </w:rPr>
            </w:pPr>
          </w:p>
        </w:tc>
      </w:tr>
      <w:tr>
        <w:trPr>
          <w:trHeight w:val="20"/>
        </w:trPr>
        <w:tc>
          <w:tcPr>
            <w:tcW w:w="80" w:type="dxa"/>
            <w:vAlign w:val="bottom"/>
            <w:tcBorders>
              <w:top w:val="single" w:sz="8" w:color="CCFFCC"/>
            </w:tcBorders>
            <w:shd w:val="clear" w:color="auto" w:fill="CCFFCC"/>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-4499610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-4499610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-4499610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-4499610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-4499610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-4499610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-4499610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-4499610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-3453765</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-3453765</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-3453765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-3453765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-3453765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-3453765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-3453765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-3453765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-2896870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-2879725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-2896870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-2879725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-1628140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-1628140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-1628140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-582295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-582295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-582295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following table, we present goodwill, long-lived assets, and total assets by reportable segment as of December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APAC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APAC</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00" w:type="dxa"/>
            <w:vAlign w:val="bottom"/>
          </w:tcPr>
          <w:p>
            <w:pPr>
              <w:spacing w:after="0"/>
              <w:rPr>
                <w:sz w:val="18"/>
                <w:szCs w:val="18"/>
                <w:color w:val="auto"/>
              </w:rPr>
            </w:pPr>
          </w:p>
        </w:tc>
      </w:tr>
      <w:tr>
        <w:trPr>
          <w:trHeight w:val="210"/>
        </w:trPr>
        <w:tc>
          <w:tcPr>
            <w:tcW w:w="1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54,766</w:t>
            </w:r>
          </w:p>
        </w:tc>
        <w:tc>
          <w:tcPr>
            <w:tcW w:w="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5,515</w:t>
            </w:r>
          </w:p>
        </w:tc>
        <w:tc>
          <w:tcPr>
            <w:tcW w:w="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1,963</w:t>
            </w:r>
          </w:p>
        </w:tc>
        <w:tc>
          <w:tcPr>
            <w:tcW w:w="440" w:type="dxa"/>
            <w:vAlign w:val="bottom"/>
            <w:gridSpan w:val="2"/>
            <w:shd w:val="clear" w:color="auto" w:fill="CCFFC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62,244</w:t>
            </w:r>
          </w:p>
        </w:tc>
        <w:tc>
          <w:tcPr>
            <w:tcW w:w="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54,766</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5,497</w:t>
            </w:r>
          </w:p>
        </w:tc>
        <w:tc>
          <w:tcPr>
            <w:tcW w:w="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62,226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Long lived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104,217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117,906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97,556</w:t>
            </w:r>
          </w:p>
        </w:tc>
      </w:tr>
      <w:tr>
        <w:trPr>
          <w:trHeight w:val="216"/>
        </w:trPr>
        <w:tc>
          <w:tcPr>
            <w:tcW w:w="1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696,019</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116,219</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27,150</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839,388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633,157</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102,222</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22,172</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757,551</w:t>
            </w:r>
          </w:p>
        </w:tc>
      </w:tr>
    </w:tbl>
    <w:p>
      <w:pPr>
        <w:spacing w:after="0" w:line="198"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we derived revenue from sales to customers outside the United States of approximately $373.5 million, $346.2 million, and $301.4 million, respectively. Our remaining revenue was derived from domestic sales.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5" w:name="page66"/>
    <w:bookmarkEnd w:id="65"/>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Cloud subscriptions revenue primarily relates to our Manhattan Active omnichannel, warehouse management solutions, and transportation management solutions for the year ended December 31, 2025. The majority of our software license revenue (approximately 80%) relates to our warehouse management product group for the same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 Expense</w:t>
      </w:r>
    </w:p>
    <w:p>
      <w:pPr>
        <w:spacing w:after="0" w:line="12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In January 2025, the Company eliminated approximately 100 positions to align our services capacity with customer demand which has been impacted by short-term macro-economic uncertainty. The Company recorded restructuring expense of approximately $2.9 million for the year ended December 31, 2025 to the Americas segment. The expense primarily consists of employee severance and outplacement services. The expense is classified in “Restructuring expense” in the Company’s Consolidated Statements of Income for the year ended December 31, 2025.</w:t>
      </w:r>
    </w:p>
    <w:p>
      <w:pPr>
        <w:spacing w:after="0" w:line="72"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restructuring accrual for the year ended December 31, 2025 (in thousands), which was fully paid as of December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9"/>
                <w:szCs w:val="19"/>
                <w:color w:val="auto"/>
              </w:rPr>
            </w:pPr>
          </w:p>
        </w:tc>
      </w:tr>
      <w:tr>
        <w:trPr>
          <w:trHeight w:val="209"/>
        </w:trPr>
        <w:tc>
          <w:tcPr>
            <w:tcW w:w="6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62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Restructuring expense</w:t>
            </w:r>
          </w:p>
        </w:tc>
        <w:tc>
          <w:tcPr>
            <w:tcW w:w="272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00" w:type="dxa"/>
            <w:vAlign w:val="bottom"/>
            <w:shd w:val="clear" w:color="auto" w:fill="CCFFCC"/>
          </w:tcPr>
          <w:p>
            <w:pPr>
              <w:spacing w:after="0"/>
              <w:rPr>
                <w:sz w:val="18"/>
                <w:szCs w:val="18"/>
                <w:color w:val="auto"/>
              </w:rPr>
            </w:pPr>
          </w:p>
        </w:tc>
      </w:tr>
      <w:tr>
        <w:trPr>
          <w:trHeight w:val="216"/>
        </w:trPr>
        <w:tc>
          <w:tcPr>
            <w:tcW w:w="6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payments</w:t>
            </w:r>
          </w:p>
        </w:tc>
        <w:tc>
          <w:tcPr>
            <w:tcW w:w="2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00" w:type="dxa"/>
            <w:vAlign w:val="bottom"/>
          </w:tcPr>
          <w:p>
            <w:pPr>
              <w:spacing w:after="0"/>
              <w:rPr>
                <w:sz w:val="18"/>
                <w:szCs w:val="18"/>
                <w:color w:val="auto"/>
              </w:rPr>
            </w:pPr>
          </w:p>
        </w:tc>
      </w:tr>
      <w:tr>
        <w:trPr>
          <w:trHeight w:val="229"/>
        </w:trPr>
        <w:tc>
          <w:tcPr>
            <w:tcW w:w="62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Restructuring accrual balance at December 31, 2025</w:t>
            </w:r>
          </w:p>
        </w:tc>
        <w:tc>
          <w:tcPr>
            <w:tcW w:w="2720" w:type="dxa"/>
            <w:vAlign w:val="bottom"/>
            <w:gridSpan w:val="2"/>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FFCC"/>
          </w:tcPr>
          <w:p>
            <w:pPr>
              <w:spacing w:after="0"/>
              <w:rPr>
                <w:sz w:val="19"/>
                <w:szCs w:val="19"/>
                <w:color w:val="auto"/>
              </w:rPr>
            </w:pPr>
          </w:p>
        </w:tc>
      </w:tr>
      <w:tr>
        <w:trPr>
          <w:trHeight w:val="20"/>
        </w:trPr>
        <w:tc>
          <w:tcPr>
            <w:tcW w:w="6240" w:type="dxa"/>
            <w:vAlign w:val="bottom"/>
            <w:tcBorders>
              <w:top w:val="single" w:sz="8" w:color="CCFFCC"/>
            </w:tcBorders>
            <w:shd w:val="clear" w:color="auto" w:fill="CCFFCC"/>
          </w:tcPr>
          <w:p>
            <w:pPr>
              <w:spacing w:after="0" w:line="20" w:lineRule="exact"/>
              <w:rPr>
                <w:sz w:val="1"/>
                <w:szCs w:val="1"/>
                <w:color w:val="auto"/>
              </w:rPr>
            </w:pPr>
          </w:p>
        </w:tc>
        <w:tc>
          <w:tcPr>
            <w:tcW w:w="23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180"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our Chief Executive Officer and Chief Financial Officer evaluated, with the participation of management, the effectiveness of our disclosure controls and procedures. Based on the evaluation, our Chief Executive Officer and Chief Financial Officer concluded that, as of the end of the period covered by this report, our disclosure controls and procedures were effective to provide reasonable assurance that the objectives of disclosure controls and procedures are met.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Management’s assessment of the effectiveness of our internal control over financial reporting as of December 31, 2025, and the report of Ernst &amp; Young LLP on the effectiveness of our internal control over financial reporting are contained on pages 42 and 43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Internal Control over Financial Reporting</w:t>
      </w:r>
    </w:p>
    <w:p>
      <w:pPr>
        <w:spacing w:after="0" w:line="121"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During the fourth quarter of 2025, there were no changes in our internal control over financial reporting that have materially affected, or are reasonably likely to materially affect, our internal control over financial reporting, including any corrective actions with regard to material weaknesses.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 director or officer of the Company adopted or terminated a "Rule 10b5-1 trading agreement"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3, 2026, including under the captions "Governance—Proposal 1 Election of Directors,” “Executive Compensation—Executive Officers Biographies,” "Governance—Board of Directors and Committees—Code of Ethics,” “Governance—Board of Directors and Committees—Board Committees,” “Governance—Insider Trading Policy,” and if applicable, "Security Ownership —Delinquent Section 16(a) Reports."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400" w:firstLine="2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3, 2026, including under the captions “Governance—Director Compensation” and “Executive Compensation.”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Shareholder Matters</w:t>
      </w:r>
    </w:p>
    <w:p>
      <w:pPr>
        <w:spacing w:after="0" w:line="12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3, 2026, including under the caption “Security Ownership—Security Ownership of Certain Beneficial Owners and Management.” The information required by this item with respect to the Company’s securities authorized for issuance under equity compensation plans is included in Part II, Item 5 of this Form 10-K and is incorporated by reference herein.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400" w:firstLine="2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3, 2026, including under the captions “Governance—Related Party Transactions” and “Election of Directors.”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400" w:firstLine="25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relevant information contained in our Proxy Statement for the Annual Meeting of Shareholders expected to be filed with the SEC on or prior to April 3, 2026, including under the caption “Audit Matters—Proposal 4— Ratification of Appointment of Independent Registered Public Accounting Firm.”</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68" w:name="page69"/>
    <w:bookmarkEnd w:id="6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(b) below.</w:t>
      </w:r>
    </w:p>
    <w:p>
      <w:pPr>
        <w:spacing w:after="0" w:line="117" w:lineRule="exact"/>
        <w:rPr>
          <w:sz w:val="20"/>
          <w:szCs w:val="20"/>
          <w:color w:val="auto"/>
        </w:rPr>
      </w:pPr>
    </w:p>
    <w:p>
      <w:pPr>
        <w:ind w:left="260" w:hanging="252"/>
        <w:spacing w:after="0" w:line="282"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under “Exhibit Index” are filed with or incorporated by reference in this Report. Where such filing is made by incorporation by reference to a previously filed registration statement or report, such registration statement or report is identified in parentheses.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08" w:right="519" w:bottom="1440" w:gutter="0" w:footer="0" w:header="0"/>
        </w:sectPr>
      </w:pPr>
    </w:p>
    <w:bookmarkStart w:id="69" w:name="page70"/>
    <w:bookmarkEnd w:id="69"/>
    <w:p>
      <w:pPr>
        <w:ind w:left="4760"/>
        <w:spacing w:after="0"/>
        <w:rPr>
          <w:sz w:val="20"/>
          <w:szCs w:val="20"/>
          <w:color w:val="auto"/>
        </w:rPr>
      </w:pPr>
      <w:r>
        <w:rPr>
          <w:rFonts w:ascii="Times New Roman" w:cs="Times New Roman" w:eastAsia="Times New Roman" w:hAnsi="Times New Roman"/>
          <w:sz w:val="21"/>
          <w:szCs w:val="21"/>
          <w:b w:val="1"/>
          <w:bCs w:val="1"/>
          <w:color w:val="auto"/>
        </w:rPr>
        <w:t>EXHIBIT INDEX</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or incorporated by reference as part of this Report.</w:t>
      </w:r>
    </w:p>
    <w:p>
      <w:pPr>
        <w:sectPr>
          <w:pgSz w:w="11900" w:h="16838" w:orient="portrait"/>
          <w:cols w:equalWidth="0" w:num="1">
            <w:col w:w="11200"/>
          </w:cols>
          <w:pgMar w:left="320" w:top="999" w:right="379" w:bottom="1440" w:gutter="0" w:footer="0" w:header="0"/>
        </w:sectPr>
      </w:pPr>
    </w:p>
    <w:p>
      <w:pPr>
        <w:spacing w:after="0" w:line="2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3.2</w:t>
      </w: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4890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28"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Articles of Incorporation of the Registrant dated February 24, 1998 (Incorporated by reference to Exhibit 3.1 to the Company’s Quarterly</w:t>
        </w:r>
      </w:hyperlink>
      <w:r>
        <w:rPr>
          <w:rFonts w:ascii="Times New Roman" w:cs="Times New Roman" w:eastAsia="Times New Roman" w:hAnsi="Times New Roman"/>
          <w:sz w:val="18"/>
          <w:szCs w:val="18"/>
          <w:u w:val="single" w:color="auto"/>
          <w:color w:val="0000FF"/>
        </w:rPr>
        <w:t xml:space="preserve"> </w:t>
      </w:r>
      <w:hyperlink r:id="rId293">
        <w:r>
          <w:rPr>
            <w:rFonts w:ascii="Times New Roman" w:cs="Times New Roman" w:eastAsia="Times New Roman" w:hAnsi="Times New Roman"/>
            <w:sz w:val="18"/>
            <w:szCs w:val="18"/>
            <w:u w:val="single" w:color="auto"/>
            <w:color w:val="0000FF"/>
          </w:rPr>
          <w:t>Report on Form 10-Q for the period ended June 30, 2014 (File No. 00023999), filed on July 29,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63074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307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46996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4699635" cy="8255"/>
                    </a:xfrm>
                    <a:prstGeom prst="rect">
                      <a:avLst/>
                    </a:prstGeom>
                    <a:noFill/>
                  </pic:spPr>
                </pic:pic>
              </a:graphicData>
            </a:graphic>
          </wp:anchor>
        </w:drawing>
      </w:r>
    </w:p>
    <w:p>
      <w:pPr>
        <w:spacing w:after="0" w:line="47"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96">
        <w:r>
          <w:rPr>
            <w:rFonts w:ascii="Times New Roman" w:cs="Times New Roman" w:eastAsia="Times New Roman" w:hAnsi="Times New Roman"/>
            <w:sz w:val="18"/>
            <w:szCs w:val="18"/>
            <w:u w:val="single" w:color="auto"/>
            <w:color w:val="0000FF"/>
          </w:rPr>
          <w:t>Amended Bylaws of the Registrant (As Amended Effective July 18, 2019) (Incorporated by reference to Exhibit 3.2 to the Company’s Form</w:t>
        </w:r>
      </w:hyperlink>
      <w:r>
        <w:rPr>
          <w:rFonts w:ascii="Times New Roman" w:cs="Times New Roman" w:eastAsia="Times New Roman" w:hAnsi="Times New Roman"/>
          <w:sz w:val="18"/>
          <w:szCs w:val="18"/>
          <w:u w:val="single" w:color="auto"/>
          <w:color w:val="0000FF"/>
        </w:rPr>
        <w:t xml:space="preserve"> </w:t>
      </w:r>
      <w:hyperlink r:id="rId296">
        <w:r>
          <w:rPr>
            <w:rFonts w:ascii="Times New Roman" w:cs="Times New Roman" w:eastAsia="Times New Roman" w:hAnsi="Times New Roman"/>
            <w:sz w:val="18"/>
            <w:szCs w:val="18"/>
            <w:u w:val="single" w:color="auto"/>
            <w:color w:val="0000FF"/>
          </w:rPr>
          <w:t>8-K (File No. 000-23999), filed on March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64503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2354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spacing w:after="0" w:line="47"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Description of Registrant's Securities Registered Pursuant to Section 12 of the Securities Exchange Act of 1934 (Incorporated by reference to</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Exhibit 4.1 to the Company's Quarterly Report on Form 10-Q for the period ended March 31, 2020 (File No. 000-23999), filed on May 1,</w:t>
        </w:r>
      </w:hyperlink>
      <w:r>
        <w:rPr>
          <w:rFonts w:ascii="Times New Roman" w:cs="Times New Roman" w:eastAsia="Times New Roman" w:hAnsi="Times New Roman"/>
          <w:sz w:val="18"/>
          <w:szCs w:val="18"/>
          <w:u w:val="single" w:color="auto"/>
          <w:color w:val="0000FF"/>
        </w:rPr>
        <w:t xml:space="preserve"> </w:t>
      </w:r>
      <w:hyperlink r:id="rId299">
        <w:r>
          <w:rPr>
            <w:rFonts w:ascii="Times New Roman" w:cs="Times New Roman" w:eastAsia="Times New Roman" w:hAnsi="Times New Roman"/>
            <w:sz w:val="18"/>
            <w:szCs w:val="18"/>
            <w:u w:val="single" w:color="auto"/>
            <w:color w:val="0000FF"/>
          </w:rPr>
          <w:t>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-313055</wp:posOffset>
            </wp:positionV>
            <wp:extent cx="64890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3195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63195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2952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8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20" w:space="500"/>
            <w:col w:w="10180"/>
          </w:cols>
          <w:pgMar w:left="320" w:top="999" w:right="379" w:bottom="1440" w:gutter="0" w:footer="0" w:header="0"/>
          <w:type w:val="continuous"/>
        </w:sectPr>
      </w:pPr>
    </w:p>
    <w:p>
      <w:pPr>
        <w:ind w:left="102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10.1(a)</w:t>
      </w:r>
      <w:r>
        <w:rPr>
          <w:sz w:val="20"/>
          <w:szCs w:val="20"/>
          <w:color w:val="auto"/>
        </w:rPr>
        <w:tab/>
      </w:r>
      <w:hyperlink r:id="rId303">
        <w:r>
          <w:rPr>
            <w:rFonts w:ascii="Times New Roman" w:cs="Times New Roman" w:eastAsia="Times New Roman" w:hAnsi="Times New Roman"/>
            <w:sz w:val="18"/>
            <w:szCs w:val="18"/>
            <w:u w:val="single" w:color="auto"/>
            <w:color w:val="0000FF"/>
          </w:rPr>
          <w:t>Lease Agreement by and between Wildwood Associates, a Georgia general partnership, and the Registrant, dated June 25, 2001</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(Incorporated by reference to Exhibit 10.1 to the Company’s Quarterly Report for the period ended June 30, 2001 (File No. 000-23999), filed</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August 14, 2001).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58756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58756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4890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8248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20" w:right="80" w:hanging="1011"/>
        <w:spacing w:after="0" w:line="282"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10.1(b)</w:t>
      </w:r>
      <w:r>
        <w:rPr>
          <w:sz w:val="20"/>
          <w:szCs w:val="20"/>
          <w:color w:val="auto"/>
        </w:rPr>
        <w:tab/>
      </w:r>
      <w:hyperlink r:id="rId307">
        <w:r>
          <w:rPr>
            <w:rFonts w:ascii="Times New Roman" w:cs="Times New Roman" w:eastAsia="Times New Roman" w:hAnsi="Times New Roman"/>
            <w:sz w:val="18"/>
            <w:szCs w:val="18"/>
            <w:u w:val="single" w:color="auto"/>
            <w:color w:val="0000FF"/>
          </w:rPr>
          <w:t>First Amendment to Lease Agreement between Wildwood Associates, and the Registrant, dated June 10, 2002 (Incorporated by reference to</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Exhibit 10.6 to the Company’s Annual Report for the period ended December 31, 2006 (File No. 000-23999), filed on March 14,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-185420</wp:posOffset>
            </wp:positionV>
            <wp:extent cx="64408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6440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-48260</wp:posOffset>
            </wp:positionV>
            <wp:extent cx="62223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6222365" cy="8255"/>
                    </a:xfrm>
                    <a:prstGeom prst="rect">
                      <a:avLst/>
                    </a:prstGeom>
                    <a:noFill/>
                  </pic:spPr>
                </pic:pic>
              </a:graphicData>
            </a:graphic>
          </wp:anchor>
        </w:drawing>
      </w:r>
    </w:p>
    <w:p>
      <w:pPr>
        <w:spacing w:after="0" w:line="47" w:lineRule="exact"/>
        <w:rPr>
          <w:sz w:val="20"/>
          <w:szCs w:val="20"/>
          <w:color w:val="auto"/>
        </w:rPr>
      </w:pPr>
    </w:p>
    <w:p>
      <w:pPr>
        <w:jc w:val="both"/>
        <w:ind w:left="1020" w:right="12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10.1(c)</w:t>
      </w:r>
      <w:r>
        <w:rPr>
          <w:sz w:val="20"/>
          <w:szCs w:val="20"/>
          <w:color w:val="auto"/>
        </w:rPr>
        <w:tab/>
      </w:r>
      <w:hyperlink r:id="rId310">
        <w:r>
          <w:rPr>
            <w:rFonts w:ascii="Times New Roman" w:cs="Times New Roman" w:eastAsia="Times New Roman" w:hAnsi="Times New Roman"/>
            <w:sz w:val="18"/>
            <w:szCs w:val="18"/>
            <w:u w:val="single" w:color="auto"/>
            <w:color w:val="0000FF"/>
          </w:rPr>
          <w:t>Second Amendment to Lease Agreement between 2300 Windy Ridge Parkway Investors LLC, and the Registrant, dated February 27, 2007</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(Incorporated by reference to Exhibit 10.7 to the Company’s Annual Report for the period ended December 31, 2006 (File No. 000-23999),</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filed on March 14, 2007).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3963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63963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4122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11741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20" w:right="48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10.1(d)</w:t>
      </w:r>
      <w:r>
        <w:rPr>
          <w:sz w:val="20"/>
          <w:szCs w:val="20"/>
          <w:color w:val="auto"/>
        </w:rPr>
        <w:tab/>
      </w:r>
      <w:hyperlink r:id="rId314">
        <w:r>
          <w:rPr>
            <w:rFonts w:ascii="Times New Roman" w:cs="Times New Roman" w:eastAsia="Times New Roman" w:hAnsi="Times New Roman"/>
            <w:sz w:val="18"/>
            <w:szCs w:val="18"/>
            <w:u w:val="single" w:color="auto"/>
            <w:color w:val="0000FF"/>
          </w:rPr>
          <w:t>Third Amendment to Lease Agreement between 2300 Windy Ridge Parkway Investors LLC, and the Registrant, dated June 14, 2007</w:t>
        </w:r>
      </w:hyperlink>
      <w:r>
        <w:rPr>
          <w:rFonts w:ascii="Times New Roman" w:cs="Times New Roman" w:eastAsia="Times New Roman" w:hAnsi="Times New Roman"/>
          <w:sz w:val="18"/>
          <w:szCs w:val="18"/>
          <w:u w:val="single" w:color="auto"/>
          <w:color w:val="0000FF"/>
        </w:rPr>
        <w:t xml:space="preserve"> </w:t>
      </w:r>
      <w:hyperlink r:id="rId314">
        <w:r>
          <w:rPr>
            <w:rFonts w:ascii="Times New Roman" w:cs="Times New Roman" w:eastAsia="Times New Roman" w:hAnsi="Times New Roman"/>
            <w:sz w:val="18"/>
            <w:szCs w:val="18"/>
            <w:u w:val="single" w:color="auto"/>
            <w:color w:val="0000FF"/>
          </w:rPr>
          <w:t>(Incorporated by reference to Exhibit 10.2(d) to the Company’s Annual Report for the period ended December 31, 2014 (File No. 000-</w:t>
        </w:r>
      </w:hyperlink>
      <w:hyperlink r:id="rId314">
        <w:r>
          <w:rPr>
            <w:rFonts w:ascii="Times New Roman" w:cs="Times New Roman" w:eastAsia="Times New Roman" w:hAnsi="Times New Roman"/>
            <w:sz w:val="18"/>
            <w:szCs w:val="18"/>
            <w:u w:val="single" w:color="auto"/>
            <w:color w:val="0000FF"/>
          </w:rPr>
          <w:t>23999), filed on February 5,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1112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611124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164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6164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16116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20" w:right="26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10.1(e)</w:t>
      </w:r>
      <w:r>
        <w:rPr>
          <w:sz w:val="20"/>
          <w:szCs w:val="20"/>
          <w:color w:val="auto"/>
        </w:rPr>
        <w:tab/>
      </w:r>
      <w:hyperlink r:id="rId318">
        <w:r>
          <w:rPr>
            <w:rFonts w:ascii="Times New Roman" w:cs="Times New Roman" w:eastAsia="Times New Roman" w:hAnsi="Times New Roman"/>
            <w:sz w:val="18"/>
            <w:szCs w:val="18"/>
            <w:u w:val="single" w:color="auto"/>
            <w:color w:val="0000FF"/>
          </w:rPr>
          <w:t>Fourth Amendment to Lease Agreement between SP4 2300 Windy Ridge LP, and the Registrant, dated August 14, 2012 (Incorporated by</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reference to Exhibit 10.2(e) to the Company’s Annual Report for the period ended December 31, 2014 (File No. 000-23999), filed on</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February 5,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3303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633031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1264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61264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8502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20" w:right="6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10.1(f)</w:t>
      </w:r>
      <w:r>
        <w:rPr>
          <w:sz w:val="20"/>
          <w:szCs w:val="20"/>
          <w:color w:val="auto"/>
        </w:rPr>
        <w:tab/>
      </w:r>
      <w:hyperlink r:id="rId322">
        <w:r>
          <w:rPr>
            <w:rFonts w:ascii="Times New Roman" w:cs="Times New Roman" w:eastAsia="Times New Roman" w:hAnsi="Times New Roman"/>
            <w:sz w:val="18"/>
            <w:szCs w:val="18"/>
            <w:u w:val="single" w:color="auto"/>
            <w:color w:val="0000FF"/>
          </w:rPr>
          <w:t>Fifth Amendment to Lease Agreement between 2300 Windy Ridge LLC, and the Registrant, dated May 19, 2014 (Incorporated by reference</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to Exhibit 10.2(f) to the Company’s Annual Report for the period ended December 31, 2014 (File No. 000-23999), filed on February 5,</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4503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645033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2160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621601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2952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20" w:right="56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10.1(g)</w:t>
      </w:r>
      <w:r>
        <w:rPr>
          <w:sz w:val="20"/>
          <w:szCs w:val="20"/>
          <w:color w:val="auto"/>
        </w:rPr>
        <w:tab/>
      </w:r>
      <w:hyperlink r:id="rId326">
        <w:r>
          <w:rPr>
            <w:rFonts w:ascii="Times New Roman" w:cs="Times New Roman" w:eastAsia="Times New Roman" w:hAnsi="Times New Roman"/>
            <w:sz w:val="18"/>
            <w:szCs w:val="18"/>
            <w:u w:val="single" w:color="auto"/>
            <w:color w:val="0000FF"/>
          </w:rPr>
          <w:t>Sixth Amendment to Lease Agreement between 2300 Windy Ridge LLC, and the Registrant, dated August 13, 2014 (Incorporated by</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reference to Exhibit 10.2(g) to the Company’s Annual Report for the period ended December 31, 2014 (File No. 000-23999), filed on</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February 5,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1366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613664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1328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613283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8502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20" w:right="18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10.1(h)</w:t>
      </w:r>
      <w:r>
        <w:rPr>
          <w:sz w:val="20"/>
          <w:szCs w:val="20"/>
          <w:color w:val="auto"/>
        </w:rPr>
        <w:tab/>
      </w:r>
      <w:hyperlink r:id="rId330">
        <w:r>
          <w:rPr>
            <w:rFonts w:ascii="Times New Roman" w:cs="Times New Roman" w:eastAsia="Times New Roman" w:hAnsi="Times New Roman"/>
            <w:sz w:val="18"/>
            <w:szCs w:val="18"/>
            <w:u w:val="single" w:color="auto"/>
            <w:color w:val="0000FF"/>
          </w:rPr>
          <w:t>Seventh Amendment to Lease Agreement between 2300 Windy Ridge LLC and the Registrant, dated April 29, 2015 (Incorporated by</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reference to Exhibit 10.1 to the Company’s Quarterly Report on Form 10-Q for the period ended June 30, 2015 (File No. 000-23999), filed</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on July 28, 2015).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1455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614553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3811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638111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8280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20"/>
        <w:spacing w:after="0"/>
        <w:rPr>
          <w:rFonts w:ascii="Times New Roman" w:cs="Times New Roman" w:eastAsia="Times New Roman" w:hAnsi="Times New Roman"/>
          <w:sz w:val="18"/>
          <w:szCs w:val="18"/>
          <w:u w:val="single" w:color="auto"/>
          <w:color w:val="0000FF"/>
        </w:rPr>
      </w:pPr>
      <w:hyperlink r:id="rId334">
        <w:r>
          <w:rPr>
            <w:rFonts w:ascii="Times New Roman" w:cs="Times New Roman" w:eastAsia="Times New Roman" w:hAnsi="Times New Roman"/>
            <w:sz w:val="18"/>
            <w:szCs w:val="18"/>
            <w:u w:val="single" w:color="auto"/>
            <w:color w:val="0000FF"/>
          </w:rPr>
          <w:t>Eighth Amendment to Lease Agreement between 2300 Windy Ridge LLC and the Registrant, dated January 31, 2024 (Incorporated by</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1963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619633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spacing w:after="0"/>
        <w:tabs>
          <w:tab w:leader="none" w:pos="10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10.1(i)</w:t>
      </w:r>
      <w:r>
        <w:rPr>
          <w:sz w:val="20"/>
          <w:szCs w:val="20"/>
          <w:color w:val="auto"/>
        </w:rPr>
        <w:tab/>
      </w:r>
      <w:hyperlink r:id="rId334">
        <w:r>
          <w:rPr>
            <w:rFonts w:ascii="Times New Roman" w:cs="Times New Roman" w:eastAsia="Times New Roman" w:hAnsi="Times New Roman"/>
            <w:sz w:val="17"/>
            <w:szCs w:val="17"/>
            <w:u w:val="single" w:color="auto"/>
            <w:color w:val="0000FF"/>
          </w:rPr>
          <w:t>reference to Exhibit 10.1 to the Company’s Annual Report for the period ended December 31, 2023 (File No. 000-23999), filed on February</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64408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6440805" cy="8255"/>
                    </a:xfrm>
                    <a:prstGeom prst="rect">
                      <a:avLst/>
                    </a:prstGeom>
                    <a:noFill/>
                  </pic:spPr>
                </pic:pic>
              </a:graphicData>
            </a:graphic>
          </wp:anchor>
        </w:drawing>
      </w:r>
    </w:p>
    <w:p>
      <w:pPr>
        <w:ind w:left="1020"/>
        <w:spacing w:after="0"/>
        <w:rPr>
          <w:rFonts w:ascii="Times New Roman" w:cs="Times New Roman" w:eastAsia="Times New Roman" w:hAnsi="Times New Roman"/>
          <w:sz w:val="18"/>
          <w:szCs w:val="18"/>
          <w:u w:val="single" w:color="auto"/>
          <w:color w:val="0000FF"/>
        </w:rPr>
      </w:pPr>
      <w:hyperlink r:id="rId334">
        <w:r>
          <w:rPr>
            <w:rFonts w:ascii="Times New Roman" w:cs="Times New Roman" w:eastAsia="Times New Roman" w:hAnsi="Times New Roman"/>
            <w:sz w:val="18"/>
            <w:szCs w:val="18"/>
            <w:u w:val="single" w:color="auto"/>
            <w:color w:val="0000FF"/>
          </w:rPr>
          <w:t>6,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4381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438150" cy="8890"/>
                    </a:xfrm>
                    <a:prstGeom prst="rect">
                      <a:avLst/>
                    </a:prstGeom>
                    <a:noFill/>
                  </pic:spPr>
                </pic:pic>
              </a:graphicData>
            </a:graphic>
          </wp:anchor>
        </w:drawing>
      </w:r>
    </w:p>
    <w:p>
      <w:pPr>
        <w:spacing w:after="0" w:line="92" w:lineRule="exact"/>
        <w:rPr>
          <w:rFonts w:ascii="Times New Roman" w:cs="Times New Roman" w:eastAsia="Times New Roman" w:hAnsi="Times New Roman"/>
          <w:sz w:val="18"/>
          <w:szCs w:val="18"/>
          <w:u w:val="single" w:color="auto"/>
          <w:color w:val="0000FF"/>
        </w:rPr>
      </w:pPr>
    </w:p>
    <w:p>
      <w:pPr>
        <w:jc w:val="both"/>
        <w:ind w:left="1020" w:right="28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10.2(a)</w:t>
      </w:r>
      <w:r>
        <w:rPr>
          <w:sz w:val="20"/>
          <w:szCs w:val="20"/>
          <w:color w:val="auto"/>
        </w:rPr>
        <w:tab/>
      </w:r>
      <w:hyperlink r:id="rId338">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Private Ltd dated March 18, 2019 – Unit 1 (Incorporated by reference to Exhibit 10.34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March 31, 2019 (File No. 000-23999), filed on April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2757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3201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63201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29032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290322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1020" w:right="28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10.2(b)</w:t>
      </w:r>
      <w:r>
        <w:rPr>
          <w:sz w:val="20"/>
          <w:szCs w:val="20"/>
          <w:color w:val="auto"/>
        </w:rPr>
        <w:tab/>
      </w:r>
      <w:hyperlink r:id="rId342">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42">
        <w:r>
          <w:rPr>
            <w:rFonts w:ascii="Times New Roman" w:cs="Times New Roman" w:eastAsia="Times New Roman" w:hAnsi="Times New Roman"/>
            <w:sz w:val="18"/>
            <w:szCs w:val="18"/>
            <w:u w:val="single" w:color="auto"/>
            <w:color w:val="0000FF"/>
          </w:rPr>
          <w:t>Private Ltd dated March 18, 2019 – Unit 2 (Incorporated by reference to Exhibit 10.35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42">
        <w:r>
          <w:rPr>
            <w:rFonts w:ascii="Times New Roman" w:cs="Times New Roman" w:eastAsia="Times New Roman" w:hAnsi="Times New Roman"/>
            <w:sz w:val="18"/>
            <w:szCs w:val="18"/>
            <w:u w:val="single" w:color="auto"/>
            <w:color w:val="0000FF"/>
          </w:rPr>
          <w:t>March 31, 2019 (File No. 000-23999), filed on April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27570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3201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63201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29032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290322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1020" w:right="100" w:hanging="1011"/>
        <w:spacing w:after="0" w:line="266"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10.2(c)</w:t>
      </w:r>
      <w:r>
        <w:rPr>
          <w:sz w:val="20"/>
          <w:szCs w:val="20"/>
          <w:color w:val="auto"/>
        </w:rPr>
        <w:tab/>
      </w:r>
      <w:hyperlink r:id="rId346">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46">
        <w:r>
          <w:rPr>
            <w:rFonts w:ascii="Times New Roman" w:cs="Times New Roman" w:eastAsia="Times New Roman" w:hAnsi="Times New Roman"/>
            <w:sz w:val="18"/>
            <w:szCs w:val="18"/>
            <w:u w:val="single" w:color="auto"/>
            <w:color w:val="0000FF"/>
          </w:rPr>
          <w:t>Private Ltd dated May 1, 2019 – 5,318 sq. ft. (Incorporated by reference to Exhibit 10.36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46">
        <w:r>
          <w:rPr>
            <w:rFonts w:ascii="Times New Roman" w:cs="Times New Roman" w:eastAsia="Times New Roman" w:hAnsi="Times New Roman"/>
            <w:sz w:val="18"/>
            <w:szCs w:val="18"/>
            <w:u w:val="single" w:color="auto"/>
            <w:color w:val="0000FF"/>
          </w:rPr>
          <w:t>June 30, 2019 (File No. 000-23999), filed on July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647700</wp:posOffset>
            </wp:positionH>
            <wp:positionV relativeFrom="paragraph">
              <wp:posOffset>-313055</wp:posOffset>
            </wp:positionV>
            <wp:extent cx="62757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62757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-175895</wp:posOffset>
            </wp:positionV>
            <wp:extent cx="64287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642874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-38735</wp:posOffset>
            </wp:positionV>
            <wp:extent cx="27641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2764155" cy="8255"/>
                    </a:xfrm>
                    <a:prstGeom prst="rect">
                      <a:avLst/>
                    </a:prstGeom>
                    <a:noFill/>
                  </pic:spPr>
                </pic:pic>
              </a:graphicData>
            </a:graphic>
          </wp:anchor>
        </w:drawing>
      </w:r>
    </w:p>
    <w:p>
      <w:pPr>
        <w:spacing w:after="0" w:line="169"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40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10.2(d)</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64808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28"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353">
        <w:r>
          <w:rPr>
            <w:rFonts w:ascii="Times New Roman" w:cs="Times New Roman" w:eastAsia="Times New Roman" w:hAnsi="Times New Roman"/>
            <w:sz w:val="18"/>
            <w:szCs w:val="18"/>
            <w:u w:val="single" w:color="auto"/>
            <w:color w:val="0000FF"/>
          </w:rPr>
          <w:t>Lease Deed by and between Brookefields Real Estate and Projects Private Limited and Manhattan Associates India Development Centre</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Private Ltd dated May 1, 2019 – 10,001 sq. ft. (Incorporated by reference to Exhibit 10.37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June 30, 2019 (File No. 000-23999), filed on July 25,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62757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648081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27641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2764155" cy="8255"/>
                    </a:xfrm>
                    <a:prstGeom prst="rect">
                      <a:avLst/>
                    </a:prstGeom>
                    <a:noFill/>
                  </pic:spPr>
                </pic:pic>
              </a:graphicData>
            </a:graphic>
          </wp:anchor>
        </w:drawing>
      </w:r>
    </w:p>
    <w:p>
      <w:pPr>
        <w:spacing w:after="0" w:line="8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0" w:space="500"/>
            <w:col w:w="10200"/>
          </w:cols>
          <w:pgMar w:left="320" w:top="1006" w:right="339" w:bottom="1440" w:gutter="0" w:footer="0" w:header="0"/>
        </w:sectPr>
      </w:pPr>
    </w:p>
    <w:p>
      <w:pPr>
        <w:ind w:left="1040" w:right="80" w:hanging="1025"/>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10.20(a)*</w:t>
      </w:r>
      <w:r>
        <w:rPr>
          <w:sz w:val="20"/>
          <w:szCs w:val="20"/>
          <w:color w:val="auto"/>
        </w:rPr>
        <w:tab/>
      </w:r>
      <w:hyperlink r:id="rId357">
        <w:r>
          <w:rPr>
            <w:rFonts w:ascii="Times New Roman" w:cs="Times New Roman" w:eastAsia="Times New Roman" w:hAnsi="Times New Roman"/>
            <w:sz w:val="18"/>
            <w:szCs w:val="18"/>
            <w:u w:val="single" w:color="auto"/>
            <w:color w:val="0000FF"/>
          </w:rPr>
          <w:t>2007 Stock Incentive Plan, as amended by the First Amendment thereto (Incorporated by reference to Annex A to the Company’s Definitive</w:t>
        </w:r>
      </w:hyperlink>
      <w:r>
        <w:rPr>
          <w:rFonts w:ascii="Times New Roman" w:cs="Times New Roman" w:eastAsia="Times New Roman" w:hAnsi="Times New Roman"/>
          <w:sz w:val="18"/>
          <w:szCs w:val="18"/>
          <w:u w:val="single" w:color="auto"/>
          <w:color w:val="0000FF"/>
        </w:rPr>
        <w:t xml:space="preserve"> </w:t>
      </w:r>
      <w:hyperlink r:id="rId357">
        <w:r>
          <w:rPr>
            <w:rFonts w:ascii="Times New Roman" w:cs="Times New Roman" w:eastAsia="Times New Roman" w:hAnsi="Times New Roman"/>
            <w:sz w:val="18"/>
            <w:szCs w:val="18"/>
            <w:u w:val="single" w:color="auto"/>
            <w:color w:val="0000FF"/>
          </w:rPr>
          <w:t>Proxy Statement related to its 2009 Annual Meeting of Shareholders (File No. 000-23999) filed on April 20,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-185420</wp:posOffset>
            </wp:positionV>
            <wp:extent cx="64535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645350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-48260</wp:posOffset>
            </wp:positionV>
            <wp:extent cx="52800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5280025" cy="8255"/>
                    </a:xfrm>
                    <a:prstGeom prst="rect">
                      <a:avLst/>
                    </a:prstGeom>
                    <a:noFill/>
                  </pic:spPr>
                </pic:pic>
              </a:graphicData>
            </a:graphic>
          </wp:anchor>
        </w:drawing>
      </w:r>
    </w:p>
    <w:p>
      <w:pPr>
        <w:spacing w:after="0" w:line="47" w:lineRule="exact"/>
        <w:rPr>
          <w:sz w:val="20"/>
          <w:szCs w:val="20"/>
          <w:color w:val="auto"/>
        </w:rPr>
      </w:pPr>
    </w:p>
    <w:p>
      <w:pPr>
        <w:ind w:left="1040" w:right="480" w:hanging="1025"/>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10.20(b)*</w:t>
      </w:r>
      <w:r>
        <w:rPr>
          <w:sz w:val="20"/>
          <w:szCs w:val="20"/>
          <w:color w:val="auto"/>
        </w:rPr>
        <w:tab/>
      </w:r>
      <w:hyperlink r:id="rId360">
        <w:r>
          <w:rPr>
            <w:rFonts w:ascii="Times New Roman" w:cs="Times New Roman" w:eastAsia="Times New Roman" w:hAnsi="Times New Roman"/>
            <w:sz w:val="18"/>
            <w:szCs w:val="18"/>
            <w:u w:val="single" w:color="auto"/>
            <w:color w:val="0000FF"/>
          </w:rPr>
          <w:t>Second amendment to 2007 Stock Incentive Plan (Incorporated by reference to Annex A to the Company’s Definitive Proxy Statement</w:t>
        </w:r>
      </w:hyperlink>
      <w:r>
        <w:rPr>
          <w:rFonts w:ascii="Times New Roman" w:cs="Times New Roman" w:eastAsia="Times New Roman" w:hAnsi="Times New Roman"/>
          <w:sz w:val="18"/>
          <w:szCs w:val="18"/>
          <w:u w:val="single" w:color="auto"/>
          <w:color w:val="0000FF"/>
        </w:rPr>
        <w:t xml:space="preserve"> </w:t>
      </w:r>
      <w:hyperlink r:id="rId360">
        <w:r>
          <w:rPr>
            <w:rFonts w:ascii="Times New Roman" w:cs="Times New Roman" w:eastAsia="Times New Roman" w:hAnsi="Times New Roman"/>
            <w:sz w:val="18"/>
            <w:szCs w:val="18"/>
            <w:u w:val="single" w:color="auto"/>
            <w:color w:val="0000FF"/>
          </w:rPr>
          <w:t>related to its 2011 Annual Meeting of Shareholders (File No. 000-23999) filed on April 15,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-185420</wp:posOffset>
            </wp:positionV>
            <wp:extent cx="62033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620331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-48260</wp:posOffset>
            </wp:positionV>
            <wp:extent cx="44932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4493260" cy="8255"/>
                    </a:xfrm>
                    <a:prstGeom prst="rect">
                      <a:avLst/>
                    </a:prstGeom>
                    <a:noFill/>
                  </pic:spPr>
                </pic:pic>
              </a:graphicData>
            </a:graphic>
          </wp:anchor>
        </w:drawing>
      </w:r>
    </w:p>
    <w:p>
      <w:pPr>
        <w:spacing w:after="0" w:line="47" w:lineRule="exact"/>
        <w:rPr>
          <w:sz w:val="20"/>
          <w:szCs w:val="20"/>
          <w:color w:val="auto"/>
        </w:rPr>
      </w:pPr>
    </w:p>
    <w:p>
      <w:pPr>
        <w:ind w:left="1040" w:right="20" w:hanging="1025"/>
        <w:spacing w:after="0" w:line="282"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10.20(c)*</w:t>
      </w:r>
      <w:r>
        <w:rPr>
          <w:sz w:val="20"/>
          <w:szCs w:val="20"/>
          <w:color w:val="auto"/>
        </w:rPr>
        <w:tab/>
      </w:r>
      <w:hyperlink r:id="rId363">
        <w:r>
          <w:rPr>
            <w:rFonts w:ascii="Times New Roman" w:cs="Times New Roman" w:eastAsia="Times New Roman" w:hAnsi="Times New Roman"/>
            <w:sz w:val="18"/>
            <w:szCs w:val="18"/>
            <w:u w:val="single" w:color="auto"/>
            <w:color w:val="0000FF"/>
          </w:rPr>
          <w:t>Third amendment to 2007 Stock Incentive Plan (Incorporated by reference to Annex A to Exhibit 10.1 to the Company’s Quarterly Report on</w:t>
        </w:r>
      </w:hyperlink>
      <w:r>
        <w:rPr>
          <w:rFonts w:ascii="Times New Roman" w:cs="Times New Roman" w:eastAsia="Times New Roman" w:hAnsi="Times New Roman"/>
          <w:sz w:val="18"/>
          <w:szCs w:val="18"/>
          <w:u w:val="single" w:color="auto"/>
          <w:color w:val="0000FF"/>
        </w:rPr>
        <w:t xml:space="preserve"> </w:t>
      </w:r>
      <w:hyperlink r:id="rId363">
        <w:r>
          <w:rPr>
            <w:rFonts w:ascii="Times New Roman" w:cs="Times New Roman" w:eastAsia="Times New Roman" w:hAnsi="Times New Roman"/>
            <w:sz w:val="18"/>
            <w:szCs w:val="18"/>
            <w:u w:val="single" w:color="auto"/>
            <w:color w:val="0000FF"/>
          </w:rPr>
          <w:t>Form 10-Q for the period ended September 30, 2017 (File No. 000-23999) filed on October 30,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-185420</wp:posOffset>
            </wp:positionV>
            <wp:extent cx="64808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-48260</wp:posOffset>
            </wp:positionV>
            <wp:extent cx="4683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4683125" cy="8255"/>
                    </a:xfrm>
                    <a:prstGeom prst="rect">
                      <a:avLst/>
                    </a:prstGeom>
                    <a:noFill/>
                  </pic:spPr>
                </pic:pic>
              </a:graphicData>
            </a:graphic>
          </wp:anchor>
        </w:drawing>
      </w:r>
    </w:p>
    <w:p>
      <w:pPr>
        <w:spacing w:after="0" w:line="47"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366">
        <w:r>
          <w:rPr>
            <w:rFonts w:ascii="Times New Roman" w:cs="Times New Roman" w:eastAsia="Times New Roman" w:hAnsi="Times New Roman"/>
            <w:sz w:val="17"/>
            <w:szCs w:val="17"/>
            <w:u w:val="single" w:color="auto"/>
            <w:color w:val="0000FF"/>
          </w:rPr>
          <w:t>Form of Manhattan Associates, Inc. Restricted Stock Award Agreement for Non-Employee Directors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639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6393180" cy="8255"/>
                    </a:xfrm>
                    <a:prstGeom prst="rect">
                      <a:avLst/>
                    </a:prstGeom>
                    <a:noFill/>
                  </pic:spPr>
                </pic:pic>
              </a:graphicData>
            </a:graphic>
          </wp:anchor>
        </w:drawing>
      </w:r>
    </w:p>
    <w:p>
      <w:pPr>
        <w:spacing w:after="0" w:line="7" w:lineRule="exact"/>
        <w:rPr>
          <w:sz w:val="20"/>
          <w:szCs w:val="20"/>
          <w:color w:val="auto"/>
        </w:rPr>
      </w:pPr>
    </w:p>
    <w:p>
      <w:pPr>
        <w:ind w:left="1040"/>
        <w:spacing w:after="0"/>
        <w:rPr>
          <w:rFonts w:ascii="Times New Roman" w:cs="Times New Roman" w:eastAsia="Times New Roman" w:hAnsi="Times New Roman"/>
          <w:sz w:val="18"/>
          <w:szCs w:val="18"/>
          <w:u w:val="single" w:color="auto"/>
          <w:color w:val="0000FF"/>
        </w:rPr>
      </w:pPr>
      <w:hyperlink r:id="rId366">
        <w:r>
          <w:rPr>
            <w:rFonts w:ascii="Times New Roman" w:cs="Times New Roman" w:eastAsia="Times New Roman" w:hAnsi="Times New Roman"/>
            <w:sz w:val="18"/>
            <w:szCs w:val="18"/>
            <w:u w:val="single" w:color="auto"/>
            <w:color w:val="0000FF"/>
          </w:rPr>
          <w:t>10.49 to the Company’s Annual Report for the period ended December 31, 2009 (File No. 000-23999), filed on February 19,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-19050</wp:posOffset>
            </wp:positionV>
            <wp:extent cx="60286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6028690" cy="825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10.40*</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00"/>
        <w:spacing w:after="0" w:line="282" w:lineRule="auto"/>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u w:val="single" w:color="auto"/>
            <w:color w:val="0000FF"/>
          </w:rPr>
          <w:t>Form of Manhattan Associates, Inc. Restricted Stock Unit Award Agreement for Employees (Incorporated by reference to Exhibit 10.22 to</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the Company’s Annual Report for the period ended December 31, 2022 (File No. 000-23999), filed on February 6, 2023)</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63836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63836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55397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47" w:lineRule="exact"/>
        <w:rPr>
          <w:sz w:val="20"/>
          <w:szCs w:val="20"/>
          <w:color w:val="auto"/>
        </w:rPr>
      </w:pPr>
    </w:p>
    <w:p>
      <w:pPr>
        <w:ind w:right="220"/>
        <w:spacing w:after="0" w:line="312" w:lineRule="auto"/>
        <w:rPr>
          <w:rFonts w:ascii="Times New Roman" w:cs="Times New Roman" w:eastAsia="Times New Roman" w:hAnsi="Times New Roman"/>
          <w:sz w:val="17"/>
          <w:szCs w:val="17"/>
          <w:u w:val="single" w:color="auto"/>
          <w:color w:val="0000FF"/>
        </w:rPr>
      </w:pPr>
      <w:hyperlink r:id="rId372">
        <w:r>
          <w:rPr>
            <w:rFonts w:ascii="Times New Roman" w:cs="Times New Roman" w:eastAsia="Times New Roman" w:hAnsi="Times New Roman"/>
            <w:sz w:val="17"/>
            <w:szCs w:val="17"/>
            <w:u w:val="single" w:color="auto"/>
            <w:color w:val="0000FF"/>
          </w:rPr>
          <w:t>Form of Manhattan Associates, Inc. Restricted Stock Unit Award Agreement for Non-Employee Directors (Incorporated by reference to</w:t>
        </w:r>
      </w:hyperlink>
      <w:r>
        <w:rPr>
          <w:rFonts w:ascii="Times New Roman" w:cs="Times New Roman" w:eastAsia="Times New Roman" w:hAnsi="Times New Roman"/>
          <w:sz w:val="17"/>
          <w:szCs w:val="17"/>
          <w:u w:val="single" w:color="auto"/>
          <w:color w:val="0000FF"/>
        </w:rPr>
        <w:t xml:space="preserve"> </w:t>
      </w:r>
      <w:hyperlink r:id="rId372">
        <w:r>
          <w:rPr>
            <w:rFonts w:ascii="Times New Roman" w:cs="Times New Roman" w:eastAsia="Times New Roman" w:hAnsi="Times New Roman"/>
            <w:sz w:val="17"/>
            <w:szCs w:val="17"/>
            <w:u w:val="single" w:color="auto"/>
            <w:color w:val="0000FF"/>
          </w:rPr>
          <w:t>Exhibit 10.23 to the Company’s Annual Report for the period ended December 31, 2022 (File No. 000-23999), filed on February 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62598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62598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-61595</wp:posOffset>
            </wp:positionV>
            <wp:extent cx="63366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6336665" cy="8255"/>
                    </a:xfrm>
                    <a:prstGeom prst="rect">
                      <a:avLst/>
                    </a:prstGeom>
                    <a:noFill/>
                  </pic:spPr>
                </pic:pic>
              </a:graphicData>
            </a:graphic>
          </wp:anchor>
        </w:drawing>
      </w:r>
    </w:p>
    <w:p>
      <w:pPr>
        <w:spacing w:after="0" w:line="25" w:lineRule="exact"/>
        <w:rPr>
          <w:sz w:val="20"/>
          <w:szCs w:val="20"/>
          <w:color w:val="auto"/>
        </w:rPr>
      </w:pPr>
    </w:p>
    <w:p>
      <w:pPr>
        <w:ind w:right="80"/>
        <w:spacing w:after="0" w:line="266" w:lineRule="auto"/>
        <w:rPr>
          <w:rFonts w:ascii="Times New Roman" w:cs="Times New Roman" w:eastAsia="Times New Roman" w:hAnsi="Times New Roman"/>
          <w:sz w:val="18"/>
          <w:szCs w:val="18"/>
          <w:u w:val="single" w:color="auto"/>
          <w:color w:val="0000FF"/>
        </w:rPr>
      </w:pPr>
      <w:hyperlink r:id="rId375">
        <w:r>
          <w:rPr>
            <w:rFonts w:ascii="Times New Roman" w:cs="Times New Roman" w:eastAsia="Times New Roman" w:hAnsi="Times New Roman"/>
            <w:sz w:val="18"/>
            <w:szCs w:val="18"/>
            <w:u w:val="single" w:color="auto"/>
            <w:color w:val="0000FF"/>
          </w:rPr>
          <w:t>Manhattan Associates, Inc. 2020 Equity Incentive Plan (incorporated by reference to Annex A to the Company’s Definitive Proxy Statement</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related to its 2020 Annual Meeting of Shareholders filed with the Securities and Exchange Commission on March 30, 2020 (Commission</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File No. 000-23999))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64630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64630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631126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63112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9740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right="160"/>
        <w:spacing w:after="0" w:line="282" w:lineRule="auto"/>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2016 Annual Cash Bonus Plan (Incorporated by reference from Annex B to the Company’s Definitive Proxy Statement for its 2016 Annual</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Meeting of Shareholders filed with the SEC on April 8, 2016 (SEC File No. 000-23999)).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64065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64065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40970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4097020" cy="8255"/>
                    </a:xfrm>
                    <a:prstGeom prst="rect">
                      <a:avLst/>
                    </a:prstGeom>
                    <a:noFill/>
                  </pic:spPr>
                </pic:pic>
              </a:graphicData>
            </a:graphic>
          </wp:anchor>
        </w:drawing>
      </w:r>
    </w:p>
    <w:p>
      <w:pPr>
        <w:spacing w:after="0" w:line="47" w:lineRule="exact"/>
        <w:rPr>
          <w:sz w:val="20"/>
          <w:szCs w:val="20"/>
          <w:color w:val="auto"/>
        </w:rPr>
      </w:pPr>
    </w:p>
    <w:p>
      <w:pPr>
        <w:ind w:right="280"/>
        <w:spacing w:after="0" w:line="282" w:lineRule="auto"/>
        <w:rPr>
          <w:rFonts w:ascii="Times New Roman" w:cs="Times New Roman" w:eastAsia="Times New Roman" w:hAnsi="Times New Roman"/>
          <w:sz w:val="18"/>
          <w:szCs w:val="18"/>
          <w:u w:val="single" w:color="auto"/>
          <w:color w:val="0000FF"/>
        </w:rPr>
      </w:pPr>
      <w:hyperlink r:id="rId382">
        <w:r>
          <w:rPr>
            <w:rFonts w:ascii="Times New Roman" w:cs="Times New Roman" w:eastAsia="Times New Roman" w:hAnsi="Times New Roman"/>
            <w:sz w:val="18"/>
            <w:szCs w:val="18"/>
            <w:u w:val="single" w:color="auto"/>
            <w:color w:val="0000FF"/>
          </w:rPr>
          <w:t>Form of Executive Employment Agreement (Incorporated by reference to Exhibit 10.1 to the Company’s Form 10-Q for the period ended</w:t>
        </w:r>
      </w:hyperlink>
      <w:r>
        <w:rPr>
          <w:rFonts w:ascii="Times New Roman" w:cs="Times New Roman" w:eastAsia="Times New Roman" w:hAnsi="Times New Roman"/>
          <w:sz w:val="18"/>
          <w:szCs w:val="18"/>
          <w:u w:val="single" w:color="auto"/>
          <w:color w:val="0000FF"/>
        </w:rPr>
        <w:t xml:space="preserve"> </w:t>
      </w:r>
      <w:hyperlink r:id="rId382">
        <w:r>
          <w:rPr>
            <w:rFonts w:ascii="Times New Roman" w:cs="Times New Roman" w:eastAsia="Times New Roman" w:hAnsi="Times New Roman"/>
            <w:sz w:val="18"/>
            <w:szCs w:val="18"/>
            <w:u w:val="single" w:color="auto"/>
            <w:color w:val="0000FF"/>
          </w:rPr>
          <w:t>September 30, 2018 (File No. 000-23999), filed on October 25,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63296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63296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32207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322072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500" w:space="540"/>
            <w:col w:w="10200"/>
          </w:cols>
          <w:pgMar w:left="320" w:top="100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99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Schedule to Form of Executive Employment Agreement of Initial Salaries and Target Bonus Opportunities for Named Executive Officers.</w:t>
              </w:r>
            </w:hyperlink>
          </w:p>
        </w:tc>
        <w:tc>
          <w:tcPr>
            <w:tcW w:w="120" w:type="dxa"/>
            <w:vAlign w:val="bottom"/>
          </w:tcPr>
          <w:p>
            <w:pPr>
              <w:spacing w:after="0"/>
              <w:rPr>
                <w:sz w:val="18"/>
                <w:szCs w:val="18"/>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99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of Director and Officer Indemnification Agreement with all Directors and Executive Officers (Incorporated by reference to Exhibit</w:t>
              </w:r>
            </w:hyperlink>
          </w:p>
        </w:tc>
        <w:tc>
          <w:tcPr>
            <w:tcW w:w="1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80" w:type="dxa"/>
            <w:vAlign w:val="bottom"/>
            <w:gridSpan w:val="6"/>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Form 8-K (File No. 000-23999) filed on April 4, 2013).</w:t>
              </w:r>
            </w:hyperlink>
          </w:p>
        </w:tc>
      </w:tr>
      <w:tr>
        <w:trPr>
          <w:trHeight w:val="20"/>
        </w:trPr>
        <w:tc>
          <w:tcPr>
            <w:tcW w:w="1040" w:type="dxa"/>
            <w:vAlign w:val="bottom"/>
          </w:tcPr>
          <w:p>
            <w:pPr>
              <w:spacing w:after="0" w:line="20" w:lineRule="exact"/>
              <w:rPr>
                <w:sz w:val="1"/>
                <w:szCs w:val="1"/>
                <w:color w:val="auto"/>
              </w:rPr>
            </w:pPr>
          </w:p>
        </w:tc>
        <w:tc>
          <w:tcPr>
            <w:tcW w:w="57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0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Executive Employment Letter Agreement, dated July 27, 2016, by and between the Registrant and Dennis Story (Incorporated by reference</w:t>
              </w:r>
            </w:hyperlink>
          </w:p>
        </w:tc>
      </w:tr>
      <w:tr>
        <w:trPr>
          <w:trHeight w:val="196"/>
        </w:trPr>
        <w:tc>
          <w:tcPr>
            <w:tcW w:w="1040" w:type="dxa"/>
            <w:vAlign w:val="bottom"/>
          </w:tcPr>
          <w:p>
            <w:pPr>
              <w:spacing w:after="0"/>
              <w:rPr>
                <w:sz w:val="17"/>
                <w:szCs w:val="17"/>
                <w:color w:val="auto"/>
              </w:rPr>
            </w:pPr>
          </w:p>
        </w:tc>
        <w:tc>
          <w:tcPr>
            <w:tcW w:w="66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to Exhibit 10.1 to the Company’s Form 8-K (File No. 000-23999), filed on August 1, 2016).</w:t>
              </w:r>
            </w:hyperlink>
          </w:p>
        </w:tc>
        <w:tc>
          <w:tcPr>
            <w:tcW w:w="20" w:type="dxa"/>
            <w:vAlign w:val="bottom"/>
            <w:tcBorders>
              <w:bottom w:val="single" w:sz="8" w:color="0000EE"/>
            </w:tcBorders>
          </w:tcPr>
          <w:p>
            <w:pPr>
              <w:spacing w:after="0"/>
              <w:rPr>
                <w:sz w:val="17"/>
                <w:szCs w:val="17"/>
                <w:color w:val="auto"/>
              </w:rPr>
            </w:pPr>
          </w:p>
        </w:tc>
        <w:tc>
          <w:tcPr>
            <w:tcW w:w="3420" w:type="dxa"/>
            <w:vAlign w:val="bottom"/>
            <w:gridSpan w:val="3"/>
          </w:tcPr>
          <w:p>
            <w:pPr>
              <w:spacing w:after="0"/>
              <w:rPr>
                <w:sz w:val="17"/>
                <w:szCs w:val="17"/>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w w:val="98"/>
              </w:rPr>
              <w:t>10.44</w:t>
            </w:r>
          </w:p>
        </w:tc>
        <w:tc>
          <w:tcPr>
            <w:tcW w:w="97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First Amendment to Executive Employment Agreement (Eddie Capel) effective as of February 12, 2025 (incorporated by reference to</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6120" w:type="dxa"/>
            <w:vAlign w:val="bottom"/>
            <w:vMerge w:val="restart"/>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Exhibit 10.2 to the Company’s Current Report on Form 8-K filed on March 6, 2025)</w:t>
              </w:r>
            </w:hyperlink>
          </w:p>
        </w:tc>
        <w:tc>
          <w:tcPr>
            <w:tcW w:w="35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40" w:type="dxa"/>
            <w:vAlign w:val="bottom"/>
          </w:tcPr>
          <w:p>
            <w:pPr>
              <w:spacing w:after="0"/>
              <w:rPr>
                <w:sz w:val="5"/>
                <w:szCs w:val="5"/>
                <w:color w:val="auto"/>
              </w:rPr>
            </w:pPr>
          </w:p>
        </w:tc>
        <w:tc>
          <w:tcPr>
            <w:tcW w:w="6120" w:type="dxa"/>
            <w:vAlign w:val="bottom"/>
            <w:tcBorders>
              <w:bottom w:val="single" w:sz="8" w:color="0000EE"/>
            </w:tcBorders>
            <w:vMerge w:val="continue"/>
          </w:tcPr>
          <w:p>
            <w:pPr>
              <w:spacing w:after="0"/>
              <w:rPr>
                <w:sz w:val="5"/>
                <w:szCs w:val="5"/>
                <w:color w:val="auto"/>
              </w:rPr>
            </w:pPr>
          </w:p>
        </w:tc>
        <w:tc>
          <w:tcPr>
            <w:tcW w:w="3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040" w:right="400" w:hanging="1032"/>
        <w:spacing w:after="0" w:line="282" w:lineRule="auto"/>
        <w:tabs>
          <w:tab w:leader="none" w:pos="1040" w:val="left"/>
        </w:tabs>
        <w:numPr>
          <w:ilvl w:val="0"/>
          <w:numId w:val="26"/>
        </w:numPr>
        <w:rPr>
          <w:rFonts w:ascii="Times New Roman" w:cs="Times New Roman" w:eastAsia="Times New Roman" w:hAnsi="Times New Roman"/>
          <w:sz w:val="18"/>
          <w:szCs w:val="18"/>
          <w:u w:val="single" w:color="auto"/>
          <w:color w:val="0000FF"/>
        </w:rPr>
      </w:pPr>
      <w:hyperlink r:id="rId389">
        <w:r>
          <w:rPr>
            <w:rFonts w:ascii="Times New Roman" w:cs="Times New Roman" w:eastAsia="Times New Roman" w:hAnsi="Times New Roman"/>
            <w:sz w:val="18"/>
            <w:szCs w:val="18"/>
            <w:u w:val="single" w:color="auto"/>
            <w:color w:val="0000FF"/>
          </w:rPr>
          <w:t>Insider Trading Policy (Incorporated by reference to Exhibit 10.51 to the Company’s Annual Report on Form 10-K for the period ended</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December 31, 2023 (File No. 000-23999), filed on February 6,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656590</wp:posOffset>
            </wp:positionH>
            <wp:positionV relativeFrom="paragraph">
              <wp:posOffset>-185420</wp:posOffset>
            </wp:positionV>
            <wp:extent cx="62503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625030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-48260</wp:posOffset>
            </wp:positionV>
            <wp:extent cx="32175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3217545" cy="889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Subsidiaries.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679450</wp:posOffset>
            </wp:positionH>
            <wp:positionV relativeFrom="paragraph">
              <wp:posOffset>-7620</wp:posOffset>
            </wp:positionV>
            <wp:extent cx="91694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97"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13a-14(a)/15d-14(a), as adopted pursuant to Section 302 of the Sarbanes-Oxley</w:t>
            </w: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Act of 2002</w:t>
            </w:r>
          </w:p>
        </w:tc>
        <w:tc>
          <w:tcPr>
            <w:tcW w:w="20" w:type="dxa"/>
            <w:vAlign w:val="bottom"/>
            <w:tcBorders>
              <w:bottom w:val="single" w:sz="8" w:color="0000EE"/>
            </w:tcBorders>
          </w:tcPr>
          <w:p>
            <w:pPr>
              <w:spacing w:after="0"/>
              <w:rPr>
                <w:sz w:val="17"/>
                <w:szCs w:val="17"/>
                <w:color w:val="auto"/>
              </w:rPr>
            </w:pPr>
          </w:p>
        </w:tc>
        <w:tc>
          <w:tcPr>
            <w:tcW w:w="9320" w:type="dxa"/>
            <w:vAlign w:val="bottom"/>
            <w:gridSpan w:val="6"/>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 Sarbanes-Oxley</w:t>
            </w:r>
          </w:p>
        </w:tc>
        <w:tc>
          <w:tcPr>
            <w:tcW w:w="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8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Act of 2002</w:t>
            </w:r>
          </w:p>
        </w:tc>
        <w:tc>
          <w:tcPr>
            <w:tcW w:w="20" w:type="dxa"/>
            <w:vAlign w:val="bottom"/>
            <w:tcBorders>
              <w:bottom w:val="single" w:sz="8" w:color="0000EE"/>
            </w:tcBorders>
          </w:tcPr>
          <w:p>
            <w:pPr>
              <w:spacing w:after="0"/>
              <w:rPr>
                <w:sz w:val="17"/>
                <w:szCs w:val="17"/>
                <w:color w:val="auto"/>
              </w:rPr>
            </w:pPr>
          </w:p>
        </w:tc>
        <w:tc>
          <w:tcPr>
            <w:tcW w:w="9320" w:type="dxa"/>
            <w:vAlign w:val="bottom"/>
            <w:gridSpan w:val="6"/>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pursuant to 18 U.S.C. Section 1350, as adopted pursuant to</w:t>
            </w:r>
          </w:p>
        </w:tc>
        <w:tc>
          <w:tcPr>
            <w:tcW w:w="4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466"/>
        </w:trPr>
        <w:tc>
          <w:tcPr>
            <w:tcW w:w="1060" w:type="dxa"/>
            <w:vAlign w:val="bottom"/>
          </w:tcPr>
          <w:p>
            <w:pPr>
              <w:spacing w:after="0"/>
              <w:rPr>
                <w:sz w:val="24"/>
                <w:szCs w:val="24"/>
                <w:color w:val="auto"/>
              </w:rPr>
            </w:pPr>
          </w:p>
        </w:tc>
        <w:tc>
          <w:tcPr>
            <w:tcW w:w="3380" w:type="dxa"/>
            <w:vAlign w:val="bottom"/>
            <w:tcBorders>
              <w:top w:val="single" w:sz="8" w:color="0000FF"/>
            </w:tcBorders>
            <w:gridSpan w:val="3"/>
          </w:tcPr>
          <w:p>
            <w:pPr>
              <w:spacing w:after="0"/>
              <w:rPr>
                <w:sz w:val="24"/>
                <w:szCs w:val="24"/>
                <w:color w:val="auto"/>
              </w:rPr>
            </w:pPr>
          </w:p>
        </w:tc>
        <w:tc>
          <w:tcPr>
            <w:tcW w:w="25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71</w:t>
            </w:r>
          </w:p>
        </w:tc>
        <w:tc>
          <w:tcPr>
            <w:tcW w:w="3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71" w:name="page72"/>
    <w:bookmarkEnd w:id="71"/>
    <w:p>
      <w:pPr>
        <w:ind w:right="100"/>
        <w:spacing w:after="0" w:line="264" w:lineRule="auto"/>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4890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28"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FF"/>
        </w:rPr>
      </w:pPr>
      <w:hyperlink r:id="rId397">
        <w:r>
          <w:rPr>
            <w:rFonts w:ascii="Times New Roman" w:cs="Times New Roman" w:eastAsia="Times New Roman" w:hAnsi="Times New Roman"/>
            <w:sz w:val="18"/>
            <w:szCs w:val="18"/>
            <w:u w:val="single" w:color="auto"/>
            <w:color w:val="0000FF"/>
          </w:rPr>
          <w:t>Incentive Compensation Recoupment Policy (Incorporated by reference to Exhibit 97.1 to the Company’s Annual Report for the period</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ended December 31, 2023 (File No. 000-23999), filed on February 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62217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62217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35471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3547110" cy="8890"/>
                    </a:xfrm>
                    <a:prstGeom prst="rect">
                      <a:avLst/>
                    </a:prstGeom>
                    <a:noFill/>
                  </pic:spPr>
                </pic:pic>
              </a:graphicData>
            </a:graphic>
          </wp:anchor>
        </w:drawing>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sectPr>
          <w:pgSz w:w="11900" w:h="16838" w:orient="portrait"/>
          <w:cols w:equalWidth="0" w:num="2">
            <w:col w:w="620" w:space="400"/>
            <w:col w:w="10060"/>
          </w:cols>
          <w:pgMar w:left="320" w:top="1006" w:right="499" w:bottom="1440" w:gutter="0" w:footer="0" w:header="0"/>
        </w:sect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with embedded Linkbases document</w:t>
      </w:r>
    </w:p>
    <w:p>
      <w:pPr>
        <w:spacing w:after="0" w:line="131" w:lineRule="exact"/>
        <w:rPr>
          <w:sz w:val="20"/>
          <w:szCs w:val="20"/>
          <w:color w:val="auto"/>
        </w:rPr>
      </w:pPr>
    </w:p>
    <w:p>
      <w:pPr>
        <w:ind w:left="1020" w:right="320" w:hanging="101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2025, has been formatted in Inline XBRL.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agreement.</w:t>
      </w:r>
    </w:p>
    <w:p>
      <w:pPr>
        <w:spacing w:after="0" w:line="27" w:lineRule="exact"/>
        <w:rPr>
          <w:sz w:val="20"/>
          <w:szCs w:val="20"/>
          <w:color w:val="auto"/>
        </w:rPr>
      </w:pPr>
    </w:p>
    <w:p>
      <w:pPr>
        <w:jc w:val="both"/>
        <w:ind w:right="20" w:firstLine="8"/>
        <w:spacing w:after="0" w:line="255" w:lineRule="auto"/>
        <w:tabs>
          <w:tab w:leader="none" w:pos="2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the SEC’s Regulation S-K, this Exhibit is hereby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w:t>
      </w:r>
    </w:p>
    <w:p>
      <w:pPr>
        <w:spacing w:after="0" w:line="2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6" w:right="499" w:bottom="1440" w:gutter="0" w:footer="0" w:header="0"/>
          <w:type w:val="continuous"/>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135" w:lineRule="exact"/>
        <w:rPr>
          <w:sz w:val="20"/>
          <w:szCs w:val="20"/>
          <w:color w:val="auto"/>
        </w:rPr>
      </w:pPr>
    </w:p>
    <w:p>
      <w:pPr>
        <w:ind w:left="676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17145</wp:posOffset>
            </wp:positionV>
            <wp:extent cx="25114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Eric A. Clark</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2026</w:t>
      </w:r>
    </w:p>
    <w:p>
      <w:pPr>
        <w:spacing w:after="0" w:line="225"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622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31"/>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Eddie Capel</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Eddie Capel</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A. Clark</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Eric A. Clark</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B. Story</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(Principal Financial</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Dennis B. Story</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Linda C. Pinne</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Senior Vice President, Global Corporate Controller, and Chief</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Linda C. Pinne</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Accounting Officer (Principal Accounting Officer)</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Edmond I. Eger III</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Edmond I. Eger III</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Linda T. Hollembaek</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Linda T. Hollembaek</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Kimberly A. Kuryea</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Kimberly A. Kuryea</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Moran</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Charles E. Moran</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 Noonan</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Thomas E. Noonan</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9"/>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Danielle Sheer</w:t>
            </w:r>
          </w:p>
        </w:tc>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Danielle Sheer</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522"/>
        </w:trPr>
        <w:tc>
          <w:tcPr>
            <w:tcW w:w="2700" w:type="dxa"/>
            <w:vAlign w:val="bottom"/>
          </w:tcPr>
          <w:p>
            <w:pPr>
              <w:spacing w:after="0"/>
              <w:rPr>
                <w:sz w:val="24"/>
                <w:szCs w:val="24"/>
                <w:color w:val="auto"/>
              </w:rPr>
            </w:pPr>
          </w:p>
        </w:tc>
        <w:tc>
          <w:tcPr>
            <w:tcW w:w="646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 w:type="dxa"/>
            <w:vAlign w:val="bottom"/>
          </w:tcPr>
          <w:p>
            <w:pPr>
              <w:spacing w:after="0"/>
              <w:rPr>
                <w:sz w:val="18"/>
                <w:szCs w:val="18"/>
                <w:color w:val="auto"/>
              </w:rPr>
            </w:pPr>
          </w:p>
        </w:tc>
        <w:tc>
          <w:tcPr>
            <w:tcW w:w="758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MANHATTAN ASSOCIATES, INC. SUBSIDIARIES</w:t>
            </w: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0"/>
        </w:trPr>
        <w:tc>
          <w:tcPr>
            <w:tcW w:w="7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7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0"/>
        </w:trPr>
        <w:tc>
          <w:tcPr>
            <w:tcW w:w="76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5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Limited</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Europe B.V.</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Netherlands</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France SARL</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France</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GmbH</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Germany</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KK</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Software (Shanghai), Co. Ltd.</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Pty Ltd.</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Australia</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Software Pte Ltd.</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Singapore</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(India) Development Centre Private Limited</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India</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 de R.L. de CV</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Mexico</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Services, S. de R.L. de CV</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Mexico</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Supply Chain Software, LLC</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Georgia, USA</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Associates Chile SpA</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Chile</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Manhattan Information Technology (Shanghai) Co., Ltd.</w:t>
            </w:r>
          </w:p>
        </w:tc>
        <w:tc>
          <w:tcPr>
            <w:tcW w:w="29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1195"/>
        </w:trPr>
        <w:tc>
          <w:tcPr>
            <w:tcW w:w="7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No.333-143611 pertaining to the Manhattan Associates, Inc. 2007 Stock Incentive Plan,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No.333-159852 pertaining to the Manhattan Associates, Inc. 2007 Stock Incentive Plan,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No.333-174499 pertaining to the Manhattan Associates, Inc. 2007 Stock Incentive Plan,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No.333-238503 pertaining to the Manhattan Associates, Inc. 2020 Equity Incentive Plan;</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of our reports dated February 4, 2026, with respect to the consolidated financial statements of Manhattan Associates, Inc. and subsidiaries, and the effectiveness of internal control over financial reporting of Manhattan Associates, Inc. and subsidiaries, included in this Annual Report (Form 10-K) of Manhattan Associates, Inc. and subsidiaries for the year ended December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75" w:name="page76"/>
    <w:bookmarkEnd w:id="7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A. Clark, certify that:</w:t>
      </w:r>
    </w:p>
    <w:p>
      <w:pPr>
        <w:spacing w:after="0" w:line="117"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registrant;</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4th day of February, 2026</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A. Clark,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6" w:name="page77"/>
    <w:bookmarkEnd w:id="7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13a-14(a)/15d-14(d),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B. Story, certify that:</w:t>
      </w:r>
    </w:p>
    <w:p>
      <w:pPr>
        <w:spacing w:after="0" w:line="117"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registrant;</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4th day of February, 2026</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Dennis B. Story, Executive Vice President, Chief Financial Officer,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This Certificate is being delivered pursuant to the requirements of Section 1350 of Chapter 63 (Mail Fraud) of Title 18 (Crimes and Criminal Procedures) of the United States Code and shall not be relied on by any person for any other purpose.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who are the Chief Executive Officer and Chief Financial Officer, respectively, of Manhattan Associates, Inc. (the “Company”), hereby each certify that, to the undersigned’s knowledge:</w:t>
      </w:r>
    </w:p>
    <w:p>
      <w:pPr>
        <w:spacing w:after="0" w:line="162" w:lineRule="exact"/>
        <w:rPr>
          <w:sz w:val="20"/>
          <w:szCs w:val="20"/>
          <w:color w:val="auto"/>
        </w:rPr>
      </w:pPr>
    </w:p>
    <w:p>
      <w:pPr>
        <w:ind w:right="52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twelve month period ended December 31, 2025 (the “Report”), which accompanies this Certification,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20" w:right="660" w:hanging="512"/>
        <w:spacing w:after="0" w:line="516" w:lineRule="auto"/>
        <w:tabs>
          <w:tab w:leader="none" w:pos="1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contained in the Report fairly presents, in all material respects, the financial condition and results of operations of the Company. Dated this 4th day of February, 2026</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A. Clark, President and Chief Executive Officer</w:t>
      </w:r>
    </w:p>
    <w:p>
      <w:pPr>
        <w:spacing w:after="0" w:line="24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Dennis B. Story, Executive Vice President, Chief Financial Officer,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07"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In accordance with SEC Release No. 34-47986, this Exhibit is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 A signed original of this written statement required by Section 906 of the Sarbanes-Oxley Act of 2002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lvl w:ilvl="1">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2"/>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decimal"/>
      <w:start w:val="19"/>
    </w:lvl>
  </w:abstractNum>
  <w:abstractNum w:abstractNumId="26">
    <w:nsid w:val="8138641"/>
    <w:multiLevelType w:val="hybridMultilevel"/>
    <w:lvl w:ilvl="0">
      <w:lvlJc w:val="left"/>
      <w:lvlText w:val="%1"/>
      <w:numFmt w:val="decimal"/>
      <w:start w:val="21"/>
    </w:lvl>
  </w:abstractNum>
  <w:abstractNum w:abstractNumId="27">
    <w:nsid w:val="1E7FF521"/>
    <w:multiLevelType w:val="hybridMultilevel"/>
    <w:lvl w:ilvl="0">
      <w:lvlJc w:val="left"/>
      <w:lvlText w:val="%1"/>
      <w:numFmt w:val="decimal"/>
      <w:start w:val="104"/>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7" Type="http://schemas.openxmlformats.org/officeDocument/2006/relationships/image" Target="media/image340.png"/><Relationship Id="rId368"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293" Type="http://schemas.openxmlformats.org/officeDocument/2006/relationships/hyperlink" Target="https://www.sec.gov/Archives/edgar/data/1056696/000119312514284514/d732483dex31.htm" TargetMode="External"/><Relationship Id="rId296" Type="http://schemas.openxmlformats.org/officeDocument/2006/relationships/hyperlink" Target="https://www.sec.gov/Archives/edgar/data/1056696/000095017023007050/manh-ex3_2.htm" TargetMode="External"/><Relationship Id="rId299" Type="http://schemas.openxmlformats.org/officeDocument/2006/relationships/hyperlink" Target="https://www.sec.gov/Archives/edgar/data/1056696/000156459020020456/manh-ex41_197.htm" TargetMode="External"/><Relationship Id="rId303" Type="http://schemas.openxmlformats.org/officeDocument/2006/relationships/hyperlink" Target="https://www.sec.gov/Archives/edgar/data/1056696/000095014401505907/g71096ex10-1.txt" TargetMode="External"/><Relationship Id="rId307" Type="http://schemas.openxmlformats.org/officeDocument/2006/relationships/hyperlink" Target="https://www.sec.gov/Archives/edgar/data/1056696/000095014407002192/g05735exv10w6.htm" TargetMode="External"/><Relationship Id="rId310" Type="http://schemas.openxmlformats.org/officeDocument/2006/relationships/hyperlink" Target="https://www.sec.gov/Archives/edgar/data/1056696/000095014407002192/g05735exv10w7.htm" TargetMode="External"/><Relationship Id="rId314" Type="http://schemas.openxmlformats.org/officeDocument/2006/relationships/hyperlink" Target="https://www.sec.gov/Archives/edgar/data/1056696/000156459015000520/manh-ex102d_20141231818.htm" TargetMode="External"/><Relationship Id="rId318" Type="http://schemas.openxmlformats.org/officeDocument/2006/relationships/hyperlink" Target="https://www.sec.gov/Archives/edgar/data/1056696/000156459015000520/manh-ex102e_20141231819.htm" TargetMode="External"/><Relationship Id="rId322" Type="http://schemas.openxmlformats.org/officeDocument/2006/relationships/hyperlink" Target="https://www.sec.gov/Archives/edgar/data/1056696/000156459015000520/manh-ex102f_20141231820.htm" TargetMode="External"/><Relationship Id="rId326" Type="http://schemas.openxmlformats.org/officeDocument/2006/relationships/hyperlink" Target="https://www.sec.gov/Archives/edgar/data/1056696/000156459015000520/manh-ex102g_20141231821.htm" TargetMode="External"/><Relationship Id="rId330" Type="http://schemas.openxmlformats.org/officeDocument/2006/relationships/hyperlink" Target="https://www.sec.gov/Archives/edgar/data/1056696/000156459015005703/manh-ex101_310.htm" TargetMode="External"/><Relationship Id="rId334" Type="http://schemas.openxmlformats.org/officeDocument/2006/relationships/hyperlink" Target="https://www.sec.gov/Archives/edgar/data/1056696/000095017024011411/manh-ex10_1.htm" TargetMode="External"/><Relationship Id="rId338" Type="http://schemas.openxmlformats.org/officeDocument/2006/relationships/hyperlink" Target="https://www.sec.gov/Archives/edgar/data/1056696/000156459019013103/manh-ex1034_429.htm" TargetMode="External"/><Relationship Id="rId342" Type="http://schemas.openxmlformats.org/officeDocument/2006/relationships/hyperlink" Target="https://www.sec.gov/Archives/edgar/data/1056696/000156459019013103/manh-ex1035_428.htm" TargetMode="External"/><Relationship Id="rId346" Type="http://schemas.openxmlformats.org/officeDocument/2006/relationships/hyperlink" Target="https://www.sec.gov/Archives/edgar/data/1056696/000156459019026152/manh-ex1036_94.htm" TargetMode="External"/><Relationship Id="rId353" Type="http://schemas.openxmlformats.org/officeDocument/2006/relationships/hyperlink" Target="https://www.sec.gov/Archives/edgar/data/1056696/000156459019026152/manh-ex1037_93.htm" TargetMode="External"/><Relationship Id="rId357" Type="http://schemas.openxmlformats.org/officeDocument/2006/relationships/hyperlink" Target="https://www.sec.gov/Archives/edgar/data/1056696/000095014409003320/g18466def14a.htm#118" TargetMode="External"/><Relationship Id="rId360" Type="http://schemas.openxmlformats.org/officeDocument/2006/relationships/hyperlink" Target="https://www.sec.gov/Archives/edgar/data/1056696/000095012311036042/g26847def14a.htm#G26847125" TargetMode="External"/><Relationship Id="rId363" Type="http://schemas.openxmlformats.org/officeDocument/2006/relationships/hyperlink" Target="https://www.sec.gov/Archives/edgar/data/1056696/000156459017020362/manh-ex101_342.htm" TargetMode="External"/><Relationship Id="rId366" Type="http://schemas.openxmlformats.org/officeDocument/2006/relationships/hyperlink" Target="https://www.sec.gov/Archives/edgar/data/1056696/000095012310014461/g22159exv10w49.htm" TargetMode="External"/><Relationship Id="rId369" Type="http://schemas.openxmlformats.org/officeDocument/2006/relationships/hyperlink" Target="https://www.sec.gov/Archives/edgar/data/1056696/000095017023001892/manh-ex10_22.htm" TargetMode="External"/><Relationship Id="rId372" Type="http://schemas.openxmlformats.org/officeDocument/2006/relationships/hyperlink" Target="https://www.sec.gov/Archives/edgar/data/1056696/000095017023001892/manh-ex10_23.htm" TargetMode="External"/><Relationship Id="rId375" Type="http://schemas.openxmlformats.org/officeDocument/2006/relationships/hyperlink" Target="https://www.sec.gov/Archives/edgar/data/1056696/000156459020013959/manh-def14a_20200514.htm#IncentivePlan" TargetMode="External"/><Relationship Id="rId379" Type="http://schemas.openxmlformats.org/officeDocument/2006/relationships/hyperlink" Target="https://www.sec.gov/Archives/edgar/data/1056696/000156459016015994/manh-def14a_20160512.htm" TargetMode="External"/><Relationship Id="rId382" Type="http://schemas.openxmlformats.org/officeDocument/2006/relationships/hyperlink" Target="https://www.sec.gov/Archives/edgar/data/1056696/000156459018025118/manh-ex101_459.htm" TargetMode="External"/><Relationship Id="rId385" Type="http://schemas.openxmlformats.org/officeDocument/2006/relationships/hyperlink" Target="https://www.sec.gov/Archives/edgar/data/1056696/000095017024011411/manh-ex10_41.htm" TargetMode="External"/><Relationship Id="rId386" Type="http://schemas.openxmlformats.org/officeDocument/2006/relationships/hyperlink" Target="https://www.sec.gov/Archives/edgar/data/1056696/000119312513142342/d516614dex102.htm" TargetMode="External"/><Relationship Id="rId387" Type="http://schemas.openxmlformats.org/officeDocument/2006/relationships/hyperlink" Target="https://www.sec.gov/Archives/edgar/data/1056696/000156459016021888/manh-ex101_7.htm" TargetMode="External"/><Relationship Id="rId388" Type="http://schemas.openxmlformats.org/officeDocument/2006/relationships/hyperlink" Target="https://www.sec.gov/Archives/edgar/data/1056696/000095017025034838/manh-ex10_2.htm" TargetMode="External"/><Relationship Id="rId389" Type="http://schemas.openxmlformats.org/officeDocument/2006/relationships/hyperlink" Target="https://www.sec.gov/Archives/edgar/data/1056696/000095017024011411/manh-ex10_51.htm" TargetMode="External"/><Relationship Id="rId397" Type="http://schemas.openxmlformats.org/officeDocument/2006/relationships/hyperlink" Target="https://www.sec.gov/Archives/edgar/data/1056696/000095017024011411/manh-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2026-02-04T11:45:36Z</dcterms:created>
  <dcterms:modified xsi:type="dcterms:W3CDTF">2026-02-04T11:45:36Z</dcterms:modified>
</cp:coreProperties>
</file>