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301625</wp:posOffset>
            </wp:positionV>
            <wp:extent cx="7247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318135</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w:t>
      </w:r>
      <w:r>
        <w:rPr>
          <w:rFonts w:ascii="Arial" w:cs="Arial" w:eastAsia="Arial" w:hAnsi="Arial"/>
          <w:sz w:val="17"/>
          <w:szCs w:val="17"/>
          <w:b w:val="1"/>
          <w:bCs w:val="1"/>
          <w:color w:val="auto"/>
        </w:rPr>
        <w:t>NITED</w:t>
      </w:r>
      <w:r>
        <w:rPr>
          <w:rFonts w:ascii="Arial" w:cs="Arial" w:eastAsia="Arial" w:hAnsi="Arial"/>
          <w:sz w:val="25"/>
          <w:szCs w:val="25"/>
          <w:b w:val="1"/>
          <w:bCs w:val="1"/>
          <w:color w:val="auto"/>
        </w:rPr>
        <w:t xml:space="preserve"> S</w:t>
      </w:r>
      <w:r>
        <w:rPr>
          <w:rFonts w:ascii="Arial" w:cs="Arial" w:eastAsia="Arial" w:hAnsi="Arial"/>
          <w:sz w:val="17"/>
          <w:szCs w:val="17"/>
          <w:b w:val="1"/>
          <w:bCs w:val="1"/>
          <w:color w:val="auto"/>
        </w:rPr>
        <w:t>TATES</w:t>
      </w:r>
    </w:p>
    <w:p>
      <w:pPr>
        <w:spacing w:after="0" w:line="35"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w:t>
      </w:r>
      <w:r>
        <w:rPr>
          <w:rFonts w:ascii="Arial" w:cs="Arial" w:eastAsia="Arial" w:hAnsi="Arial"/>
          <w:sz w:val="17"/>
          <w:szCs w:val="17"/>
          <w:b w:val="1"/>
          <w:bCs w:val="1"/>
          <w:color w:val="auto"/>
        </w:rPr>
        <w:t>ECURITIES</w:t>
      </w:r>
      <w:r>
        <w:rPr>
          <w:rFonts w:ascii="Arial" w:cs="Arial" w:eastAsia="Arial" w:hAnsi="Arial"/>
          <w:sz w:val="25"/>
          <w:szCs w:val="25"/>
          <w:b w:val="1"/>
          <w:bCs w:val="1"/>
          <w:color w:val="auto"/>
        </w:rPr>
        <w:t xml:space="preserve"> A</w:t>
      </w:r>
      <w:r>
        <w:rPr>
          <w:rFonts w:ascii="Arial" w:cs="Arial" w:eastAsia="Arial" w:hAnsi="Arial"/>
          <w:sz w:val="17"/>
          <w:szCs w:val="17"/>
          <w:b w:val="1"/>
          <w:bCs w:val="1"/>
          <w:color w:val="auto"/>
        </w:rPr>
        <w:t>ND</w:t>
      </w:r>
      <w:r>
        <w:rPr>
          <w:rFonts w:ascii="Arial" w:cs="Arial" w:eastAsia="Arial" w:hAnsi="Arial"/>
          <w:sz w:val="25"/>
          <w:szCs w:val="25"/>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OMMISSION</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Washington, DC 20549</w:t>
      </w:r>
    </w:p>
    <w:p>
      <w:pPr>
        <w:ind w:left="4960"/>
        <w:spacing w:after="0"/>
        <w:rPr>
          <w:sz w:val="20"/>
          <w:szCs w:val="20"/>
          <w:color w:val="auto"/>
        </w:rPr>
      </w:pPr>
      <w:r>
        <w:rPr>
          <w:rFonts w:ascii="Arial" w:cs="Arial" w:eastAsia="Arial" w:hAnsi="Arial"/>
          <w:sz w:val="21"/>
          <w:szCs w:val="21"/>
          <w:color w:val="auto"/>
        </w:rPr>
        <w:t>______________</w:t>
      </w:r>
    </w:p>
    <w:p>
      <w:pPr>
        <w:spacing w:after="0" w:line="87"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8-K</w:t>
      </w:r>
    </w:p>
    <w:p>
      <w:pPr>
        <w:spacing w:after="0" w:line="26" w:lineRule="exact"/>
        <w:rPr>
          <w:sz w:val="24"/>
          <w:szCs w:val="24"/>
          <w:color w:val="auto"/>
        </w:rPr>
      </w:pPr>
    </w:p>
    <w:p>
      <w:pPr>
        <w:ind w:left="4960"/>
        <w:spacing w:after="0"/>
        <w:rPr>
          <w:sz w:val="20"/>
          <w:szCs w:val="20"/>
          <w:color w:val="auto"/>
        </w:rPr>
      </w:pPr>
      <w:r>
        <w:rPr>
          <w:rFonts w:ascii="Arial" w:cs="Arial" w:eastAsia="Arial" w:hAnsi="Arial"/>
          <w:sz w:val="21"/>
          <w:szCs w:val="21"/>
          <w:color w:val="auto"/>
        </w:rPr>
        <w:t>______________</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CURRENT REPORT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 xml:space="preserve">Date of Report (Date of earliest event reported): </w:t>
      </w:r>
      <w:r>
        <w:rPr>
          <w:rFonts w:ascii="Arial" w:cs="Arial" w:eastAsia="Arial" w:hAnsi="Arial"/>
          <w:sz w:val="21"/>
          <w:szCs w:val="21"/>
          <w:b w:val="1"/>
          <w:bCs w:val="1"/>
          <w:color w:val="auto"/>
        </w:rPr>
        <w:t>May 18, 2017</w:t>
      </w:r>
    </w:p>
    <w:p>
      <w:pPr>
        <w:spacing w:after="0" w:line="195"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M</w:t>
      </w:r>
      <w:r>
        <w:rPr>
          <w:rFonts w:ascii="Arial" w:cs="Arial" w:eastAsia="Arial" w:hAnsi="Arial"/>
          <w:sz w:val="20"/>
          <w:szCs w:val="20"/>
          <w:b w:val="1"/>
          <w:bCs w:val="1"/>
          <w:color w:val="auto"/>
        </w:rPr>
        <w:t>ANHATTAN</w:t>
      </w:r>
      <w:r>
        <w:rPr>
          <w:rFonts w:ascii="Arial" w:cs="Arial" w:eastAsia="Arial" w:hAnsi="Arial"/>
          <w:sz w:val="29"/>
          <w:szCs w:val="29"/>
          <w:b w:val="1"/>
          <w:bCs w:val="1"/>
          <w:color w:val="auto"/>
        </w:rPr>
        <w:t xml:space="preserve"> A</w:t>
      </w:r>
      <w:r>
        <w:rPr>
          <w:rFonts w:ascii="Arial" w:cs="Arial" w:eastAsia="Arial" w:hAnsi="Arial"/>
          <w:sz w:val="20"/>
          <w:szCs w:val="20"/>
          <w:b w:val="1"/>
          <w:bCs w:val="1"/>
          <w:color w:val="auto"/>
        </w:rPr>
        <w:t>SSOCIATES</w:t>
      </w:r>
      <w:r>
        <w:rPr>
          <w:rFonts w:ascii="Arial" w:cs="Arial" w:eastAsia="Arial" w:hAnsi="Arial"/>
          <w:sz w:val="29"/>
          <w:szCs w:val="29"/>
          <w:b w:val="1"/>
          <w:bCs w:val="1"/>
          <w:color w:val="auto"/>
        </w:rPr>
        <w:t>, I</w:t>
      </w:r>
      <w:r>
        <w:rPr>
          <w:rFonts w:ascii="Arial" w:cs="Arial" w:eastAsia="Arial" w:hAnsi="Arial"/>
          <w:sz w:val="20"/>
          <w:szCs w:val="20"/>
          <w:b w:val="1"/>
          <w:bCs w:val="1"/>
          <w:color w:val="auto"/>
        </w:rPr>
        <w:t>NC</w:t>
      </w:r>
      <w:r>
        <w:rPr>
          <w:rFonts w:ascii="Arial" w:cs="Arial" w:eastAsia="Arial" w:hAnsi="Arial"/>
          <w:sz w:val="29"/>
          <w:szCs w:val="29"/>
          <w:b w:val="1"/>
          <w:bCs w:val="1"/>
          <w:color w:val="auto"/>
        </w:rPr>
        <w:t>.</w:t>
      </w: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21"/>
          <w:szCs w:val="21"/>
          <w:color w:val="auto"/>
        </w:rPr>
        <w:t>(Exact Name of Registrant as Specified in Its Charter)</w:t>
      </w: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6"/>
        </w:trPr>
        <w:tc>
          <w:tcPr>
            <w:tcW w:w="3120" w:type="dxa"/>
            <w:vAlign w:val="bottom"/>
          </w:tcPr>
          <w:p>
            <w:pPr>
              <w:jc w:val="center"/>
              <w:ind w:right="888"/>
              <w:spacing w:after="0"/>
              <w:rPr>
                <w:sz w:val="20"/>
                <w:szCs w:val="20"/>
                <w:color w:val="auto"/>
              </w:rPr>
            </w:pPr>
            <w:r>
              <w:rPr>
                <w:rFonts w:ascii="Arial" w:cs="Arial" w:eastAsia="Arial" w:hAnsi="Arial"/>
                <w:sz w:val="20"/>
                <w:szCs w:val="20"/>
                <w:b w:val="1"/>
                <w:bCs w:val="1"/>
                <w:color w:val="auto"/>
                <w:w w:val="87"/>
              </w:rPr>
              <w:t>Georgia</w:t>
            </w:r>
          </w:p>
        </w:tc>
        <w:tc>
          <w:tcPr>
            <w:tcW w:w="3100" w:type="dxa"/>
            <w:vAlign w:val="bottom"/>
          </w:tcPr>
          <w:p>
            <w:pPr>
              <w:jc w:val="center"/>
              <w:ind w:right="108"/>
              <w:spacing w:after="0"/>
              <w:rPr>
                <w:sz w:val="20"/>
                <w:szCs w:val="20"/>
                <w:color w:val="auto"/>
              </w:rPr>
            </w:pPr>
            <w:r>
              <w:rPr>
                <w:rFonts w:ascii="Arial" w:cs="Arial" w:eastAsia="Arial" w:hAnsi="Arial"/>
                <w:sz w:val="20"/>
                <w:szCs w:val="20"/>
                <w:b w:val="1"/>
                <w:bCs w:val="1"/>
                <w:color w:val="auto"/>
                <w:w w:val="89"/>
              </w:rPr>
              <w:t>0-23999</w:t>
            </w:r>
          </w:p>
        </w:tc>
        <w:tc>
          <w:tcPr>
            <w:tcW w:w="2500" w:type="dxa"/>
            <w:vAlign w:val="bottom"/>
          </w:tcPr>
          <w:p>
            <w:pPr>
              <w:jc w:val="center"/>
              <w:ind w:left="1068"/>
              <w:spacing w:after="0"/>
              <w:rPr>
                <w:sz w:val="20"/>
                <w:szCs w:val="20"/>
                <w:color w:val="auto"/>
              </w:rPr>
            </w:pPr>
            <w:r>
              <w:rPr>
                <w:rFonts w:ascii="Arial" w:cs="Arial" w:eastAsia="Arial" w:hAnsi="Arial"/>
                <w:sz w:val="20"/>
                <w:szCs w:val="20"/>
                <w:b w:val="1"/>
                <w:bCs w:val="1"/>
                <w:color w:val="auto"/>
                <w:w w:val="88"/>
              </w:rPr>
              <w:t>58-2373424</w:t>
            </w:r>
          </w:p>
        </w:tc>
      </w:tr>
      <w:tr>
        <w:trPr>
          <w:trHeight w:val="214"/>
        </w:trPr>
        <w:tc>
          <w:tcPr>
            <w:tcW w:w="3120" w:type="dxa"/>
            <w:vAlign w:val="bottom"/>
          </w:tcPr>
          <w:p>
            <w:pPr>
              <w:jc w:val="center"/>
              <w:ind w:right="888"/>
              <w:spacing w:after="0"/>
              <w:rPr>
                <w:sz w:val="20"/>
                <w:szCs w:val="20"/>
                <w:color w:val="auto"/>
              </w:rPr>
            </w:pPr>
            <w:r>
              <w:rPr>
                <w:rFonts w:ascii="Arial" w:cs="Arial" w:eastAsia="Arial" w:hAnsi="Arial"/>
                <w:sz w:val="18"/>
                <w:szCs w:val="18"/>
                <w:color w:val="auto"/>
                <w:w w:val="91"/>
              </w:rPr>
              <w:t>(State or Other Jurisdiction of</w:t>
            </w:r>
          </w:p>
        </w:tc>
        <w:tc>
          <w:tcPr>
            <w:tcW w:w="3100" w:type="dxa"/>
            <w:vAlign w:val="bottom"/>
          </w:tcPr>
          <w:p>
            <w:pPr>
              <w:jc w:val="center"/>
              <w:ind w:right="128"/>
              <w:spacing w:after="0"/>
              <w:rPr>
                <w:sz w:val="20"/>
                <w:szCs w:val="20"/>
                <w:color w:val="auto"/>
              </w:rPr>
            </w:pPr>
            <w:r>
              <w:rPr>
                <w:rFonts w:ascii="Arial" w:cs="Arial" w:eastAsia="Arial" w:hAnsi="Arial"/>
                <w:sz w:val="18"/>
                <w:szCs w:val="18"/>
                <w:color w:val="auto"/>
                <w:w w:val="91"/>
              </w:rPr>
              <w:t>(Commission</w:t>
            </w:r>
          </w:p>
        </w:tc>
        <w:tc>
          <w:tcPr>
            <w:tcW w:w="2500" w:type="dxa"/>
            <w:vAlign w:val="bottom"/>
          </w:tcPr>
          <w:p>
            <w:pPr>
              <w:jc w:val="center"/>
              <w:ind w:left="1068"/>
              <w:spacing w:after="0"/>
              <w:rPr>
                <w:sz w:val="20"/>
                <w:szCs w:val="20"/>
                <w:color w:val="auto"/>
              </w:rPr>
            </w:pPr>
            <w:r>
              <w:rPr>
                <w:rFonts w:ascii="Arial" w:cs="Arial" w:eastAsia="Arial" w:hAnsi="Arial"/>
                <w:sz w:val="18"/>
                <w:szCs w:val="18"/>
                <w:color w:val="auto"/>
                <w:w w:val="92"/>
              </w:rPr>
              <w:t>(I.R.S. Employer</w:t>
            </w:r>
          </w:p>
        </w:tc>
      </w:tr>
      <w:tr>
        <w:trPr>
          <w:trHeight w:val="227"/>
        </w:trPr>
        <w:tc>
          <w:tcPr>
            <w:tcW w:w="3120" w:type="dxa"/>
            <w:vAlign w:val="bottom"/>
          </w:tcPr>
          <w:p>
            <w:pPr>
              <w:jc w:val="center"/>
              <w:ind w:right="888"/>
              <w:spacing w:after="0"/>
              <w:rPr>
                <w:sz w:val="20"/>
                <w:szCs w:val="20"/>
                <w:color w:val="auto"/>
              </w:rPr>
            </w:pPr>
            <w:r>
              <w:rPr>
                <w:rFonts w:ascii="Arial" w:cs="Arial" w:eastAsia="Arial" w:hAnsi="Arial"/>
                <w:sz w:val="18"/>
                <w:szCs w:val="18"/>
                <w:color w:val="auto"/>
                <w:w w:val="91"/>
              </w:rPr>
              <w:t>Incorporation or organization)</w:t>
            </w:r>
          </w:p>
        </w:tc>
        <w:tc>
          <w:tcPr>
            <w:tcW w:w="3100" w:type="dxa"/>
            <w:vAlign w:val="bottom"/>
          </w:tcPr>
          <w:p>
            <w:pPr>
              <w:jc w:val="center"/>
              <w:ind w:right="108"/>
              <w:spacing w:after="0"/>
              <w:rPr>
                <w:sz w:val="20"/>
                <w:szCs w:val="20"/>
                <w:color w:val="auto"/>
              </w:rPr>
            </w:pPr>
            <w:r>
              <w:rPr>
                <w:rFonts w:ascii="Arial" w:cs="Arial" w:eastAsia="Arial" w:hAnsi="Arial"/>
                <w:sz w:val="18"/>
                <w:szCs w:val="18"/>
                <w:color w:val="auto"/>
                <w:w w:val="94"/>
              </w:rPr>
              <w:t>File Number)</w:t>
            </w:r>
          </w:p>
        </w:tc>
        <w:tc>
          <w:tcPr>
            <w:tcW w:w="2500" w:type="dxa"/>
            <w:vAlign w:val="bottom"/>
          </w:tcPr>
          <w:p>
            <w:pPr>
              <w:jc w:val="center"/>
              <w:ind w:left="1068"/>
              <w:spacing w:after="0"/>
              <w:rPr>
                <w:sz w:val="20"/>
                <w:szCs w:val="20"/>
                <w:color w:val="auto"/>
              </w:rPr>
            </w:pPr>
            <w:r>
              <w:rPr>
                <w:rFonts w:ascii="Arial" w:cs="Arial" w:eastAsia="Arial" w:hAnsi="Arial"/>
                <w:sz w:val="18"/>
                <w:szCs w:val="18"/>
                <w:color w:val="auto"/>
                <w:w w:val="95"/>
              </w:rPr>
              <w:t>Identification No.)</w:t>
            </w:r>
          </w:p>
        </w:tc>
      </w:tr>
    </w:tbl>
    <w:p>
      <w:pPr>
        <w:spacing w:after="0" w:line="215"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2300 Windy Ridge Parkway, Tenth Floor, Atlanta, Georgia</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30339</w:t>
      </w:r>
    </w:p>
    <w:p>
      <w:pPr>
        <w:jc w:val="center"/>
        <w:ind w:right="-179"/>
        <w:spacing w:after="0"/>
        <w:rPr>
          <w:sz w:val="20"/>
          <w:szCs w:val="20"/>
          <w:color w:val="auto"/>
        </w:rPr>
      </w:pPr>
      <w:r>
        <w:rPr>
          <w:rFonts w:ascii="Arial" w:cs="Arial" w:eastAsia="Arial" w:hAnsi="Arial"/>
          <w:sz w:val="20"/>
          <w:szCs w:val="20"/>
          <w:color w:val="auto"/>
        </w:rPr>
        <w:t>(Address of Principal Executive Offices)</w:t>
      </w:r>
    </w:p>
    <w:p>
      <w:pPr>
        <w:jc w:val="center"/>
        <w:ind w:right="-179"/>
        <w:spacing w:after="0"/>
        <w:rPr>
          <w:sz w:val="20"/>
          <w:szCs w:val="20"/>
          <w:color w:val="auto"/>
        </w:rPr>
      </w:pPr>
      <w:r>
        <w:rPr>
          <w:rFonts w:ascii="Arial" w:cs="Arial" w:eastAsia="Arial" w:hAnsi="Arial"/>
          <w:sz w:val="20"/>
          <w:szCs w:val="20"/>
          <w:color w:val="auto"/>
        </w:rPr>
        <w:t>(Zip Code)</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(770) 955-7070</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(Registrant’s telephone number, including area code)</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1"/>
          <w:szCs w:val="21"/>
          <w:b w:val="1"/>
          <w:bCs w:val="1"/>
          <w:color w:val="auto"/>
        </w:rPr>
        <w:t>NONE</w:t>
      </w:r>
    </w:p>
    <w:p>
      <w:pPr>
        <w:spacing w:after="0" w:line="2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820" w:hanging="81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26" w:lineRule="exact"/>
        <w:rPr>
          <w:rFonts w:ascii="MS PGothic" w:cs="MS PGothic" w:eastAsia="MS PGothic" w:hAnsi="MS PGothic"/>
          <w:sz w:val="18"/>
          <w:szCs w:val="18"/>
          <w:color w:val="auto"/>
        </w:rPr>
      </w:pPr>
    </w:p>
    <w:p>
      <w:pPr>
        <w:ind w:left="820" w:hanging="81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26" w:lineRule="exact"/>
        <w:rPr>
          <w:rFonts w:ascii="MS PGothic" w:cs="MS PGothic" w:eastAsia="MS PGothic" w:hAnsi="MS PGothic"/>
          <w:sz w:val="18"/>
          <w:szCs w:val="18"/>
          <w:color w:val="auto"/>
        </w:rPr>
      </w:pPr>
    </w:p>
    <w:p>
      <w:pPr>
        <w:ind w:left="820" w:hanging="81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26" w:lineRule="exact"/>
        <w:rPr>
          <w:rFonts w:ascii="MS PGothic" w:cs="MS PGothic" w:eastAsia="MS PGothic" w:hAnsi="MS PGothic"/>
          <w:sz w:val="18"/>
          <w:szCs w:val="18"/>
          <w:color w:val="auto"/>
        </w:rPr>
      </w:pPr>
    </w:p>
    <w:p>
      <w:pPr>
        <w:ind w:left="820" w:hanging="813"/>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13"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880"/>
        <w:spacing w:after="0" w:line="184" w:lineRule="exact"/>
        <w:tabs>
          <w:tab w:leader="none" w:pos="330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8" w:lineRule="exact"/>
        <w:rPr>
          <w:sz w:val="24"/>
          <w:szCs w:val="24"/>
          <w:color w:val="auto"/>
        </w:rPr>
      </w:pPr>
    </w:p>
    <w:p>
      <w:pPr>
        <w:ind w:right="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260350</wp:posOffset>
            </wp:positionV>
            <wp:extent cx="7247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277495</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1054735</wp:posOffset>
            </wp:positionV>
            <wp:extent cx="729043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40"/>
          </w:cols>
          <w:pgMar w:left="240" w:top="732" w:right="419" w:bottom="1440" w:gutter="0" w:footer="0" w:header="0"/>
        </w:sectPr>
      </w:pPr>
    </w:p>
    <w:bookmarkStart w:id="1" w:name="page2"/>
    <w:bookmarkEnd w:id="1"/>
    <w:p>
      <w:pPr>
        <w:spacing w:after="0"/>
        <w:tabs>
          <w:tab w:leader="none" w:pos="172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18" w:lineRule="exact"/>
        <w:rPr>
          <w:sz w:val="20"/>
          <w:szCs w:val="20"/>
          <w:color w:val="auto"/>
        </w:rPr>
      </w:pPr>
    </w:p>
    <w:p>
      <w:pPr>
        <w:jc w:val="both"/>
        <w:ind w:right="100" w:firstLine="878"/>
        <w:spacing w:after="0" w:line="243" w:lineRule="auto"/>
        <w:rPr>
          <w:sz w:val="20"/>
          <w:szCs w:val="20"/>
          <w:color w:val="auto"/>
        </w:rPr>
      </w:pPr>
      <w:r>
        <w:rPr>
          <w:rFonts w:ascii="Arial" w:cs="Arial" w:eastAsia="Arial" w:hAnsi="Arial"/>
          <w:sz w:val="20"/>
          <w:szCs w:val="20"/>
          <w:color w:val="auto"/>
        </w:rPr>
        <w:t>On Thursday, May 18, 2017, the Company held its Annual Meeting of Shareholders (the “Annual Meeting”) in Atlanta, Georgia. As of the record date, March 22, 2017, there were 69,443,299 shares of common stock entitled to vote at the Annual Meeting. There were present at the Annual Meeting, in person or by proxy, holders of 64,929,157 shares, representing approximately 93% of the common stock entitled to vote at the Annual Meeting.</w:t>
      </w:r>
    </w:p>
    <w:p>
      <w:pPr>
        <w:spacing w:after="0" w:line="193" w:lineRule="exact"/>
        <w:rPr>
          <w:sz w:val="20"/>
          <w:szCs w:val="20"/>
          <w:color w:val="auto"/>
        </w:rPr>
      </w:pPr>
    </w:p>
    <w:p>
      <w:pPr>
        <w:jc w:val="both"/>
        <w:ind w:right="100" w:firstLine="878"/>
        <w:spacing w:after="0" w:line="283" w:lineRule="auto"/>
        <w:rPr>
          <w:sz w:val="20"/>
          <w:szCs w:val="20"/>
          <w:color w:val="auto"/>
        </w:rPr>
      </w:pPr>
      <w:r>
        <w:rPr>
          <w:rFonts w:ascii="Arial" w:cs="Arial" w:eastAsia="Arial" w:hAnsi="Arial"/>
          <w:sz w:val="19"/>
          <w:szCs w:val="19"/>
          <w:color w:val="auto"/>
        </w:rPr>
        <w:t>The matters considered and voted on by the Company’s shareholders at the Annual Meeting, the votes cast for, withheld or against, and the number of abstentions and broker non-votes with respect to each matter voted upon, as applicable, are set forth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38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2"/>
          </w:tcPr>
          <w:p>
            <w:pPr>
              <w:ind w:left="800"/>
              <w:spacing w:after="0"/>
              <w:rPr>
                <w:sz w:val="20"/>
                <w:szCs w:val="20"/>
                <w:color w:val="auto"/>
              </w:rPr>
            </w:pPr>
            <w:r>
              <w:rPr>
                <w:rFonts w:ascii="Arial" w:cs="Arial" w:eastAsia="Arial" w:hAnsi="Arial"/>
                <w:sz w:val="20"/>
                <w:szCs w:val="20"/>
                <w:b w:val="1"/>
                <w:bCs w:val="1"/>
                <w:color w:val="auto"/>
              </w:rPr>
              <w:t>Number of Votes</w:t>
            </w:r>
          </w:p>
        </w:tc>
        <w:tc>
          <w:tcPr>
            <w:tcW w:w="1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524"/>
        </w:trPr>
        <w:tc>
          <w:tcPr>
            <w:tcW w:w="3380" w:type="dxa"/>
            <w:vAlign w:val="bottom"/>
            <w:vMerge w:val="restart"/>
          </w:tcPr>
          <w:p>
            <w:pPr>
              <w:spacing w:after="0"/>
              <w:rPr>
                <w:sz w:val="20"/>
                <w:szCs w:val="20"/>
                <w:color w:val="auto"/>
              </w:rPr>
            </w:pPr>
            <w:r>
              <w:rPr>
                <w:rFonts w:ascii="Arial" w:cs="Arial" w:eastAsia="Arial" w:hAnsi="Arial"/>
                <w:sz w:val="20"/>
                <w:szCs w:val="20"/>
                <w:b w:val="1"/>
                <w:bCs w:val="1"/>
                <w:color w:val="auto"/>
              </w:rPr>
              <w:t>Proposals</w:t>
            </w:r>
          </w:p>
        </w:tc>
        <w:tc>
          <w:tcPr>
            <w:tcW w:w="2340" w:type="dxa"/>
            <w:vAlign w:val="bottom"/>
            <w:vMerge w:val="restart"/>
          </w:tcPr>
          <w:p>
            <w:pPr>
              <w:jc w:val="center"/>
              <w:ind w:left="462"/>
              <w:spacing w:after="0"/>
              <w:rPr>
                <w:sz w:val="20"/>
                <w:szCs w:val="20"/>
                <w:color w:val="auto"/>
              </w:rPr>
            </w:pPr>
            <w:r>
              <w:rPr>
                <w:rFonts w:ascii="Arial" w:cs="Arial" w:eastAsia="Arial" w:hAnsi="Arial"/>
                <w:sz w:val="20"/>
                <w:szCs w:val="20"/>
                <w:b w:val="1"/>
                <w:bCs w:val="1"/>
                <w:color w:val="auto"/>
                <w:w w:val="89"/>
              </w:rPr>
              <w:t>Term Expires</w:t>
            </w:r>
          </w:p>
        </w:tc>
        <w:tc>
          <w:tcPr>
            <w:tcW w:w="14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For</w:t>
            </w:r>
          </w:p>
        </w:tc>
        <w:tc>
          <w:tcPr>
            <w:tcW w:w="1200" w:type="dxa"/>
            <w:vAlign w:val="bottom"/>
            <w:vMerge w:val="restart"/>
          </w:tcPr>
          <w:p>
            <w:pPr>
              <w:ind w:left="280"/>
              <w:spacing w:after="0"/>
              <w:rPr>
                <w:sz w:val="20"/>
                <w:szCs w:val="20"/>
                <w:color w:val="auto"/>
              </w:rPr>
            </w:pPr>
            <w:r>
              <w:rPr>
                <w:rFonts w:ascii="Arial" w:cs="Arial" w:eastAsia="Arial" w:hAnsi="Arial"/>
                <w:sz w:val="20"/>
                <w:szCs w:val="20"/>
                <w:b w:val="1"/>
                <w:bCs w:val="1"/>
                <w:color w:val="auto"/>
              </w:rPr>
              <w:t>Against</w:t>
            </w:r>
          </w:p>
        </w:tc>
        <w:tc>
          <w:tcPr>
            <w:tcW w:w="13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Abstained</w:t>
            </w:r>
          </w:p>
        </w:tc>
        <w:tc>
          <w:tcPr>
            <w:tcW w:w="1780" w:type="dxa"/>
            <w:vAlign w:val="bottom"/>
          </w:tcPr>
          <w:p>
            <w:pPr>
              <w:jc w:val="center"/>
              <w:ind w:left="82"/>
              <w:spacing w:after="0"/>
              <w:rPr>
                <w:sz w:val="20"/>
                <w:szCs w:val="20"/>
                <w:color w:val="auto"/>
              </w:rPr>
            </w:pPr>
            <w:r>
              <w:rPr>
                <w:rFonts w:ascii="Arial" w:cs="Arial" w:eastAsia="Arial" w:hAnsi="Arial"/>
                <w:sz w:val="20"/>
                <w:szCs w:val="20"/>
                <w:b w:val="1"/>
                <w:bCs w:val="1"/>
                <w:color w:val="auto"/>
                <w:w w:val="89"/>
              </w:rPr>
              <w:t>Broker Non-Votes</w:t>
            </w: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vMerge w:val="continue"/>
          </w:tcPr>
          <w:p>
            <w:pPr>
              <w:spacing w:after="0"/>
              <w:rPr>
                <w:sz w:val="11"/>
                <w:szCs w:val="11"/>
                <w:color w:val="auto"/>
              </w:rPr>
            </w:pPr>
          </w:p>
        </w:tc>
        <w:tc>
          <w:tcPr>
            <w:tcW w:w="2340" w:type="dxa"/>
            <w:vAlign w:val="bottom"/>
            <w:tcBorders>
              <w:bottom w:val="single" w:sz="8" w:color="auto"/>
            </w:tcBorders>
            <w:vMerge w:val="continue"/>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3380" w:type="dxa"/>
            <w:vAlign w:val="bottom"/>
          </w:tcPr>
          <w:p>
            <w:pPr>
              <w:spacing w:after="0"/>
              <w:rPr>
                <w:sz w:val="20"/>
                <w:szCs w:val="20"/>
                <w:color w:val="auto"/>
              </w:rPr>
            </w:pPr>
            <w:r>
              <w:rPr>
                <w:rFonts w:ascii="Arial" w:cs="Arial" w:eastAsia="Arial" w:hAnsi="Arial"/>
                <w:sz w:val="20"/>
                <w:szCs w:val="20"/>
                <w:color w:val="auto"/>
              </w:rPr>
              <w:t>1. Election of Class I Directors</w:t>
            </w:r>
          </w:p>
        </w:tc>
        <w:tc>
          <w:tcPr>
            <w:tcW w:w="2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20"/>
                <w:szCs w:val="20"/>
                <w:color w:val="auto"/>
              </w:rPr>
              <w:t>Eddie Capel</w:t>
            </w:r>
          </w:p>
        </w:tc>
        <w:tc>
          <w:tcPr>
            <w:tcW w:w="2340" w:type="dxa"/>
            <w:vAlign w:val="bottom"/>
          </w:tcPr>
          <w:p>
            <w:pPr>
              <w:jc w:val="center"/>
              <w:ind w:left="482"/>
              <w:spacing w:after="0"/>
              <w:rPr>
                <w:sz w:val="20"/>
                <w:szCs w:val="20"/>
                <w:color w:val="auto"/>
              </w:rPr>
            </w:pPr>
            <w:r>
              <w:rPr>
                <w:rFonts w:ascii="Arial" w:cs="Arial" w:eastAsia="Arial" w:hAnsi="Arial"/>
                <w:sz w:val="20"/>
                <w:szCs w:val="20"/>
                <w:color w:val="auto"/>
                <w:w w:val="89"/>
              </w:rPr>
              <w:t>2020</w:t>
            </w:r>
          </w:p>
        </w:tc>
        <w:tc>
          <w:tcPr>
            <w:tcW w:w="1460" w:type="dxa"/>
            <w:vAlign w:val="bottom"/>
          </w:tcPr>
          <w:p>
            <w:pPr>
              <w:jc w:val="center"/>
              <w:spacing w:after="0"/>
              <w:rPr>
                <w:sz w:val="20"/>
                <w:szCs w:val="20"/>
                <w:color w:val="auto"/>
              </w:rPr>
            </w:pPr>
            <w:r>
              <w:rPr>
                <w:rFonts w:ascii="Arial" w:cs="Arial" w:eastAsia="Arial" w:hAnsi="Arial"/>
                <w:sz w:val="20"/>
                <w:szCs w:val="20"/>
                <w:color w:val="auto"/>
                <w:w w:val="87"/>
              </w:rPr>
              <w:t>60,453,450</w:t>
            </w:r>
          </w:p>
        </w:tc>
        <w:tc>
          <w:tcPr>
            <w:tcW w:w="1200" w:type="dxa"/>
            <w:vAlign w:val="bottom"/>
          </w:tcPr>
          <w:p>
            <w:pPr>
              <w:ind w:left="280"/>
              <w:spacing w:after="0"/>
              <w:rPr>
                <w:sz w:val="20"/>
                <w:szCs w:val="20"/>
                <w:color w:val="auto"/>
              </w:rPr>
            </w:pPr>
            <w:r>
              <w:rPr>
                <w:rFonts w:ascii="Arial" w:cs="Arial" w:eastAsia="Arial" w:hAnsi="Arial"/>
                <w:sz w:val="20"/>
                <w:szCs w:val="20"/>
                <w:color w:val="auto"/>
              </w:rPr>
              <w:t>540,608</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56,407</w:t>
            </w:r>
          </w:p>
        </w:tc>
        <w:tc>
          <w:tcPr>
            <w:tcW w:w="1780" w:type="dxa"/>
            <w:vAlign w:val="bottom"/>
          </w:tcPr>
          <w:p>
            <w:pPr>
              <w:jc w:val="center"/>
              <w:ind w:left="102"/>
              <w:spacing w:after="0"/>
              <w:rPr>
                <w:sz w:val="20"/>
                <w:szCs w:val="20"/>
                <w:color w:val="auto"/>
              </w:rPr>
            </w:pPr>
            <w:r>
              <w:rPr>
                <w:rFonts w:ascii="Arial" w:cs="Arial" w:eastAsia="Arial" w:hAnsi="Arial"/>
                <w:sz w:val="20"/>
                <w:szCs w:val="20"/>
                <w:color w:val="auto"/>
                <w:w w:val="87"/>
              </w:rPr>
              <w:t>3,878,692</w:t>
            </w:r>
          </w:p>
        </w:tc>
        <w:tc>
          <w:tcPr>
            <w:tcW w:w="0" w:type="dxa"/>
            <w:vAlign w:val="bottom"/>
          </w:tcPr>
          <w:p>
            <w:pPr>
              <w:spacing w:after="0"/>
              <w:rPr>
                <w:sz w:val="1"/>
                <w:szCs w:val="1"/>
                <w:color w:val="auto"/>
              </w:rPr>
            </w:pPr>
          </w:p>
        </w:tc>
      </w:tr>
      <w:tr>
        <w:trPr>
          <w:trHeight w:val="249"/>
        </w:trPr>
        <w:tc>
          <w:tcPr>
            <w:tcW w:w="3380" w:type="dxa"/>
            <w:vAlign w:val="bottom"/>
          </w:tcPr>
          <w:p>
            <w:pPr>
              <w:spacing w:after="0"/>
              <w:rPr>
                <w:sz w:val="20"/>
                <w:szCs w:val="20"/>
                <w:color w:val="auto"/>
              </w:rPr>
            </w:pPr>
            <w:r>
              <w:rPr>
                <w:rFonts w:ascii="Arial" w:cs="Arial" w:eastAsia="Arial" w:hAnsi="Arial"/>
                <w:sz w:val="20"/>
                <w:szCs w:val="20"/>
                <w:color w:val="auto"/>
              </w:rPr>
              <w:t>Charles E. Moran</w:t>
            </w:r>
          </w:p>
        </w:tc>
        <w:tc>
          <w:tcPr>
            <w:tcW w:w="2340" w:type="dxa"/>
            <w:vAlign w:val="bottom"/>
          </w:tcPr>
          <w:p>
            <w:pPr>
              <w:jc w:val="center"/>
              <w:ind w:left="482"/>
              <w:spacing w:after="0"/>
              <w:rPr>
                <w:sz w:val="20"/>
                <w:szCs w:val="20"/>
                <w:color w:val="auto"/>
              </w:rPr>
            </w:pPr>
            <w:r>
              <w:rPr>
                <w:rFonts w:ascii="Arial" w:cs="Arial" w:eastAsia="Arial" w:hAnsi="Arial"/>
                <w:sz w:val="20"/>
                <w:szCs w:val="20"/>
                <w:color w:val="auto"/>
                <w:w w:val="89"/>
              </w:rPr>
              <w:t>2020</w:t>
            </w:r>
          </w:p>
        </w:tc>
        <w:tc>
          <w:tcPr>
            <w:tcW w:w="1460" w:type="dxa"/>
            <w:vAlign w:val="bottom"/>
          </w:tcPr>
          <w:p>
            <w:pPr>
              <w:jc w:val="center"/>
              <w:spacing w:after="0"/>
              <w:rPr>
                <w:sz w:val="20"/>
                <w:szCs w:val="20"/>
                <w:color w:val="auto"/>
              </w:rPr>
            </w:pPr>
            <w:r>
              <w:rPr>
                <w:rFonts w:ascii="Arial" w:cs="Arial" w:eastAsia="Arial" w:hAnsi="Arial"/>
                <w:sz w:val="20"/>
                <w:szCs w:val="20"/>
                <w:color w:val="auto"/>
                <w:w w:val="87"/>
              </w:rPr>
              <w:t>60,582,477</w:t>
            </w:r>
          </w:p>
        </w:tc>
        <w:tc>
          <w:tcPr>
            <w:tcW w:w="1200" w:type="dxa"/>
            <w:vAlign w:val="bottom"/>
          </w:tcPr>
          <w:p>
            <w:pPr>
              <w:ind w:left="300"/>
              <w:spacing w:after="0"/>
              <w:rPr>
                <w:sz w:val="20"/>
                <w:szCs w:val="20"/>
                <w:color w:val="auto"/>
              </w:rPr>
            </w:pPr>
            <w:r>
              <w:rPr>
                <w:rFonts w:ascii="Arial" w:cs="Arial" w:eastAsia="Arial" w:hAnsi="Arial"/>
                <w:sz w:val="20"/>
                <w:szCs w:val="20"/>
                <w:color w:val="auto"/>
              </w:rPr>
              <w:t>411,536</w:t>
            </w:r>
          </w:p>
        </w:tc>
        <w:tc>
          <w:tcPr>
            <w:tcW w:w="1360" w:type="dxa"/>
            <w:vAlign w:val="bottom"/>
          </w:tcPr>
          <w:p>
            <w:pPr>
              <w:jc w:val="center"/>
              <w:spacing w:after="0"/>
              <w:rPr>
                <w:sz w:val="20"/>
                <w:szCs w:val="20"/>
                <w:color w:val="auto"/>
              </w:rPr>
            </w:pPr>
            <w:r>
              <w:rPr>
                <w:rFonts w:ascii="Arial" w:cs="Arial" w:eastAsia="Arial" w:hAnsi="Arial"/>
                <w:sz w:val="20"/>
                <w:szCs w:val="20"/>
                <w:color w:val="auto"/>
                <w:w w:val="88"/>
              </w:rPr>
              <w:t>56,452</w:t>
            </w:r>
          </w:p>
        </w:tc>
        <w:tc>
          <w:tcPr>
            <w:tcW w:w="1780" w:type="dxa"/>
            <w:vAlign w:val="bottom"/>
          </w:tcPr>
          <w:p>
            <w:pPr>
              <w:jc w:val="center"/>
              <w:ind w:left="102"/>
              <w:spacing w:after="0"/>
              <w:rPr>
                <w:sz w:val="20"/>
                <w:szCs w:val="20"/>
                <w:color w:val="auto"/>
              </w:rPr>
            </w:pPr>
            <w:r>
              <w:rPr>
                <w:rFonts w:ascii="Arial" w:cs="Arial" w:eastAsia="Arial" w:hAnsi="Arial"/>
                <w:sz w:val="20"/>
                <w:szCs w:val="20"/>
                <w:color w:val="auto"/>
                <w:w w:val="87"/>
              </w:rPr>
              <w:t>3,878,692</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49"/>
        </w:trPr>
        <w:tc>
          <w:tcPr>
            <w:tcW w:w="360" w:type="dxa"/>
            <w:vAlign w:val="bottom"/>
          </w:tcPr>
          <w:p>
            <w:pPr>
              <w:spacing w:after="0"/>
              <w:rPr>
                <w:sz w:val="21"/>
                <w:szCs w:val="21"/>
                <w:color w:val="auto"/>
              </w:rPr>
            </w:pPr>
          </w:p>
        </w:tc>
        <w:tc>
          <w:tcPr>
            <w:tcW w:w="10960" w:type="dxa"/>
            <w:vAlign w:val="bottom"/>
            <w:gridSpan w:val="9"/>
          </w:tcPr>
          <w:p>
            <w:pPr>
              <w:ind w:left="420"/>
              <w:spacing w:after="0"/>
              <w:rPr>
                <w:sz w:val="20"/>
                <w:szCs w:val="20"/>
                <w:color w:val="auto"/>
              </w:rPr>
            </w:pPr>
            <w:r>
              <w:rPr>
                <w:rFonts w:ascii="Arial" w:cs="Arial" w:eastAsia="Arial" w:hAnsi="Arial"/>
                <w:sz w:val="20"/>
                <w:szCs w:val="20"/>
                <w:color w:val="auto"/>
              </w:rPr>
              <w:t>The nominees for Class I Directors were elected, and each received the affirmative vote of a majority of the votes cast.</w:t>
            </w: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2"/>
          </w:tcPr>
          <w:p>
            <w:pPr>
              <w:ind w:left="700"/>
              <w:spacing w:after="0"/>
              <w:rPr>
                <w:sz w:val="20"/>
                <w:szCs w:val="20"/>
                <w:color w:val="auto"/>
              </w:rPr>
            </w:pPr>
            <w:r>
              <w:rPr>
                <w:rFonts w:ascii="Arial" w:cs="Arial" w:eastAsia="Arial" w:hAnsi="Arial"/>
                <w:sz w:val="20"/>
                <w:szCs w:val="20"/>
                <w:b w:val="1"/>
                <w:bCs w:val="1"/>
                <w:color w:val="auto"/>
              </w:rPr>
              <w:t>Number of Votes</w:t>
            </w: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60" w:type="dxa"/>
            <w:vAlign w:val="bottom"/>
            <w:vMerge w:val="restart"/>
          </w:tcPr>
          <w:p>
            <w:pPr>
              <w:spacing w:after="0"/>
              <w:rPr>
                <w:sz w:val="20"/>
                <w:szCs w:val="20"/>
                <w:color w:val="auto"/>
              </w:rPr>
            </w:pPr>
            <w:r>
              <w:rPr>
                <w:rFonts w:ascii="Arial" w:cs="Arial" w:eastAsia="Arial" w:hAnsi="Arial"/>
                <w:sz w:val="20"/>
                <w:szCs w:val="20"/>
                <w:color w:val="auto"/>
              </w:rPr>
              <w:t>2.</w:t>
            </w:r>
          </w:p>
        </w:tc>
        <w:tc>
          <w:tcPr>
            <w:tcW w:w="3480" w:type="dxa"/>
            <w:vAlign w:val="bottom"/>
            <w:gridSpan w:val="2"/>
            <w:vMerge w:val="restart"/>
          </w:tcPr>
          <w:p>
            <w:pPr>
              <w:ind w:left="200"/>
              <w:spacing w:after="0"/>
              <w:rPr>
                <w:sz w:val="20"/>
                <w:szCs w:val="20"/>
                <w:color w:val="auto"/>
              </w:rPr>
            </w:pPr>
            <w:r>
              <w:rPr>
                <w:rFonts w:ascii="Arial" w:cs="Arial" w:eastAsia="Arial" w:hAnsi="Arial"/>
                <w:sz w:val="20"/>
                <w:szCs w:val="20"/>
                <w:color w:val="auto"/>
              </w:rPr>
              <w:t>Non-binding  resolution  to  approve</w:t>
            </w:r>
          </w:p>
        </w:tc>
        <w:tc>
          <w:tcPr>
            <w:tcW w:w="360" w:type="dxa"/>
            <w:vAlign w:val="bottom"/>
            <w:vMerge w:val="restart"/>
          </w:tcPr>
          <w:p>
            <w:pPr>
              <w:ind w:left="100"/>
              <w:spacing w:after="0"/>
              <w:rPr>
                <w:sz w:val="20"/>
                <w:szCs w:val="20"/>
                <w:color w:val="auto"/>
              </w:rPr>
            </w:pPr>
            <w:r>
              <w:rPr>
                <w:rFonts w:ascii="Arial" w:cs="Arial" w:eastAsia="Arial" w:hAnsi="Arial"/>
                <w:sz w:val="20"/>
                <w:szCs w:val="20"/>
                <w:color w:val="auto"/>
                <w:w w:val="86"/>
              </w:rPr>
              <w:t>the</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center"/>
              <w:ind w:left="302"/>
              <w:spacing w:after="0"/>
              <w:rPr>
                <w:sz w:val="20"/>
                <w:szCs w:val="20"/>
                <w:color w:val="auto"/>
              </w:rPr>
            </w:pPr>
            <w:r>
              <w:rPr>
                <w:rFonts w:ascii="Arial" w:cs="Arial" w:eastAsia="Arial" w:hAnsi="Arial"/>
                <w:sz w:val="20"/>
                <w:szCs w:val="20"/>
                <w:b w:val="1"/>
                <w:bCs w:val="1"/>
                <w:color w:val="auto"/>
                <w:w w:val="99"/>
              </w:rPr>
              <w:t>For</w:t>
            </w:r>
          </w:p>
        </w:tc>
        <w:tc>
          <w:tcPr>
            <w:tcW w:w="7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662"/>
              <w:spacing w:after="0"/>
              <w:rPr>
                <w:sz w:val="20"/>
                <w:szCs w:val="20"/>
                <w:color w:val="auto"/>
              </w:rPr>
            </w:pPr>
            <w:r>
              <w:rPr>
                <w:rFonts w:ascii="Arial" w:cs="Arial" w:eastAsia="Arial" w:hAnsi="Arial"/>
                <w:sz w:val="20"/>
                <w:szCs w:val="20"/>
                <w:b w:val="1"/>
                <w:bCs w:val="1"/>
                <w:color w:val="auto"/>
                <w:w w:val="87"/>
              </w:rPr>
              <w:t>Against</w:t>
            </w:r>
          </w:p>
        </w:tc>
        <w:tc>
          <w:tcPr>
            <w:tcW w:w="1340" w:type="dxa"/>
            <w:vAlign w:val="bottom"/>
            <w:tcBorders>
              <w:bottom w:val="single" w:sz="8" w:color="auto"/>
            </w:tcBorders>
          </w:tcPr>
          <w:p>
            <w:pPr>
              <w:jc w:val="center"/>
              <w:ind w:right="342"/>
              <w:spacing w:after="0"/>
              <w:rPr>
                <w:sz w:val="20"/>
                <w:szCs w:val="20"/>
                <w:color w:val="auto"/>
              </w:rPr>
            </w:pPr>
            <w:r>
              <w:rPr>
                <w:rFonts w:ascii="Arial" w:cs="Arial" w:eastAsia="Arial" w:hAnsi="Arial"/>
                <w:sz w:val="20"/>
                <w:szCs w:val="20"/>
                <w:b w:val="1"/>
                <w:bCs w:val="1"/>
                <w:color w:val="auto"/>
                <w:w w:val="88"/>
              </w:rPr>
              <w:t>Abstained</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Broker Non-Votes</w:t>
            </w:r>
          </w:p>
        </w:tc>
        <w:tc>
          <w:tcPr>
            <w:tcW w:w="0" w:type="dxa"/>
            <w:vAlign w:val="bottom"/>
          </w:tcPr>
          <w:p>
            <w:pPr>
              <w:spacing w:after="0"/>
              <w:rPr>
                <w:sz w:val="1"/>
                <w:szCs w:val="1"/>
                <w:color w:val="auto"/>
              </w:rPr>
            </w:pPr>
          </w:p>
        </w:tc>
      </w:tr>
      <w:tr>
        <w:trPr>
          <w:trHeight w:val="204"/>
        </w:trPr>
        <w:tc>
          <w:tcPr>
            <w:tcW w:w="360" w:type="dxa"/>
            <w:vAlign w:val="bottom"/>
            <w:vMerge w:val="continue"/>
          </w:tcPr>
          <w:p>
            <w:pPr>
              <w:spacing w:after="0"/>
              <w:rPr>
                <w:sz w:val="17"/>
                <w:szCs w:val="17"/>
                <w:color w:val="auto"/>
              </w:rPr>
            </w:pPr>
          </w:p>
        </w:tc>
        <w:tc>
          <w:tcPr>
            <w:tcW w:w="348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spacing w:after="0" w:line="204" w:lineRule="exact"/>
              <w:rPr>
                <w:sz w:val="20"/>
                <w:szCs w:val="20"/>
                <w:color w:val="auto"/>
              </w:rPr>
            </w:pPr>
            <w:r>
              <w:rPr>
                <w:rFonts w:ascii="Arial" w:cs="Arial" w:eastAsia="Arial" w:hAnsi="Arial"/>
                <w:sz w:val="20"/>
                <w:szCs w:val="20"/>
                <w:color w:val="auto"/>
              </w:rPr>
              <w:t>44,017,236</w:t>
            </w:r>
          </w:p>
        </w:tc>
        <w:tc>
          <w:tcPr>
            <w:tcW w:w="740" w:type="dxa"/>
            <w:vAlign w:val="bottom"/>
          </w:tcPr>
          <w:p>
            <w:pPr>
              <w:spacing w:after="0"/>
              <w:rPr>
                <w:sz w:val="17"/>
                <w:szCs w:val="17"/>
                <w:color w:val="auto"/>
              </w:rPr>
            </w:pPr>
          </w:p>
        </w:tc>
        <w:tc>
          <w:tcPr>
            <w:tcW w:w="1840" w:type="dxa"/>
            <w:vAlign w:val="bottom"/>
          </w:tcPr>
          <w:p>
            <w:pPr>
              <w:jc w:val="right"/>
              <w:ind w:right="762"/>
              <w:spacing w:after="0" w:line="204" w:lineRule="exact"/>
              <w:rPr>
                <w:sz w:val="20"/>
                <w:szCs w:val="20"/>
                <w:color w:val="auto"/>
              </w:rPr>
            </w:pPr>
            <w:r>
              <w:rPr>
                <w:rFonts w:ascii="Arial" w:cs="Arial" w:eastAsia="Arial" w:hAnsi="Arial"/>
                <w:sz w:val="20"/>
                <w:szCs w:val="20"/>
                <w:color w:val="auto"/>
                <w:w w:val="95"/>
              </w:rPr>
              <w:t>16,834,210</w:t>
            </w:r>
          </w:p>
        </w:tc>
        <w:tc>
          <w:tcPr>
            <w:tcW w:w="1340" w:type="dxa"/>
            <w:vAlign w:val="bottom"/>
          </w:tcPr>
          <w:p>
            <w:pPr>
              <w:jc w:val="right"/>
              <w:ind w:right="462"/>
              <w:spacing w:after="0" w:line="204" w:lineRule="exact"/>
              <w:rPr>
                <w:sz w:val="20"/>
                <w:szCs w:val="20"/>
                <w:color w:val="auto"/>
              </w:rPr>
            </w:pPr>
            <w:r>
              <w:rPr>
                <w:rFonts w:ascii="Arial" w:cs="Arial" w:eastAsia="Arial" w:hAnsi="Arial"/>
                <w:sz w:val="20"/>
                <w:szCs w:val="20"/>
                <w:color w:val="auto"/>
              </w:rPr>
              <w:t>199,019</w:t>
            </w:r>
          </w:p>
        </w:tc>
        <w:tc>
          <w:tcPr>
            <w:tcW w:w="1740" w:type="dxa"/>
            <w:vAlign w:val="bottom"/>
          </w:tcPr>
          <w:p>
            <w:pPr>
              <w:jc w:val="right"/>
              <w:ind w:right="382"/>
              <w:spacing w:after="0" w:line="204" w:lineRule="exact"/>
              <w:rPr>
                <w:sz w:val="20"/>
                <w:szCs w:val="20"/>
                <w:color w:val="auto"/>
              </w:rPr>
            </w:pPr>
            <w:r>
              <w:rPr>
                <w:rFonts w:ascii="Arial" w:cs="Arial" w:eastAsia="Arial" w:hAnsi="Arial"/>
                <w:sz w:val="20"/>
                <w:szCs w:val="20"/>
                <w:color w:val="auto"/>
              </w:rPr>
              <w:t>3,878,692</w:t>
            </w:r>
          </w:p>
        </w:tc>
        <w:tc>
          <w:tcPr>
            <w:tcW w:w="0" w:type="dxa"/>
            <w:vAlign w:val="bottom"/>
          </w:tcPr>
          <w:p>
            <w:pPr>
              <w:spacing w:after="0"/>
              <w:rPr>
                <w:sz w:val="1"/>
                <w:szCs w:val="1"/>
                <w:color w:val="auto"/>
              </w:rPr>
            </w:pPr>
          </w:p>
        </w:tc>
      </w:tr>
      <w:tr>
        <w:trPr>
          <w:trHeight w:val="227"/>
        </w:trPr>
        <w:tc>
          <w:tcPr>
            <w:tcW w:w="4200" w:type="dxa"/>
            <w:vAlign w:val="bottom"/>
            <w:gridSpan w:val="4"/>
          </w:tcPr>
          <w:p>
            <w:pPr>
              <w:spacing w:after="0" w:line="228" w:lineRule="exact"/>
              <w:rPr>
                <w:sz w:val="20"/>
                <w:szCs w:val="20"/>
                <w:color w:val="auto"/>
              </w:rPr>
            </w:pPr>
            <w:r>
              <w:rPr>
                <w:rFonts w:ascii="Arial" w:cs="Arial" w:eastAsia="Arial" w:hAnsi="Arial"/>
                <w:sz w:val="20"/>
                <w:szCs w:val="20"/>
                <w:color w:val="auto"/>
                <w:w w:val="94"/>
              </w:rPr>
              <w:t>compensation of the Company’s named executive</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840" w:type="dxa"/>
            <w:vAlign w:val="bottom"/>
            <w:gridSpan w:val="3"/>
          </w:tcPr>
          <w:p>
            <w:pPr>
              <w:spacing w:after="0"/>
              <w:rPr>
                <w:sz w:val="20"/>
                <w:szCs w:val="20"/>
                <w:color w:val="auto"/>
              </w:rPr>
            </w:pPr>
            <w:r>
              <w:rPr>
                <w:rFonts w:ascii="Arial" w:cs="Arial" w:eastAsia="Arial" w:hAnsi="Arial"/>
                <w:sz w:val="20"/>
                <w:szCs w:val="20"/>
                <w:color w:val="auto"/>
              </w:rPr>
              <w:t>officers.</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5"/>
        </w:trPr>
        <w:tc>
          <w:tcPr>
            <w:tcW w:w="360" w:type="dxa"/>
            <w:vAlign w:val="bottom"/>
          </w:tcPr>
          <w:p>
            <w:pPr>
              <w:spacing w:after="0"/>
              <w:rPr>
                <w:sz w:val="24"/>
                <w:szCs w:val="24"/>
                <w:color w:val="auto"/>
              </w:rPr>
            </w:pPr>
          </w:p>
        </w:tc>
        <w:tc>
          <w:tcPr>
            <w:tcW w:w="6040" w:type="dxa"/>
            <w:vAlign w:val="bottom"/>
            <w:gridSpan w:val="6"/>
          </w:tcPr>
          <w:p>
            <w:pPr>
              <w:ind w:left="420"/>
              <w:spacing w:after="0"/>
              <w:rPr>
                <w:sz w:val="20"/>
                <w:szCs w:val="20"/>
                <w:color w:val="auto"/>
              </w:rPr>
            </w:pPr>
            <w:r>
              <w:rPr>
                <w:rFonts w:ascii="Arial" w:cs="Arial" w:eastAsia="Arial" w:hAnsi="Arial"/>
                <w:sz w:val="20"/>
                <w:szCs w:val="20"/>
                <w:color w:val="auto"/>
                <w:w w:val="94"/>
              </w:rPr>
              <w:t>The Company’s shareholders approved proposal 2 set forth above.</w:t>
            </w:r>
          </w:p>
        </w:tc>
        <w:tc>
          <w:tcPr>
            <w:tcW w:w="1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left="282"/>
              <w:spacing w:after="0"/>
              <w:rPr>
                <w:sz w:val="20"/>
                <w:szCs w:val="20"/>
                <w:color w:val="auto"/>
              </w:rPr>
            </w:pPr>
            <w:r>
              <w:rPr>
                <w:rFonts w:ascii="Arial" w:cs="Arial" w:eastAsia="Arial" w:hAnsi="Arial"/>
                <w:sz w:val="20"/>
                <w:szCs w:val="20"/>
                <w:b w:val="1"/>
                <w:bCs w:val="1"/>
                <w:color w:val="auto"/>
                <w:w w:val="88"/>
              </w:rPr>
              <w:t>Number of Votes</w:t>
            </w:r>
          </w:p>
        </w:tc>
        <w:tc>
          <w:tcPr>
            <w:tcW w:w="1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822"/>
              <w:spacing w:after="0"/>
              <w:rPr>
                <w:sz w:val="20"/>
                <w:szCs w:val="20"/>
                <w:color w:val="auto"/>
              </w:rPr>
            </w:pPr>
            <w:r>
              <w:rPr>
                <w:rFonts w:ascii="Arial" w:cs="Arial" w:eastAsia="Arial" w:hAnsi="Arial"/>
                <w:sz w:val="20"/>
                <w:szCs w:val="20"/>
                <w:b w:val="1"/>
                <w:bCs w:val="1"/>
                <w:color w:val="auto"/>
                <w:w w:val="89"/>
              </w:rPr>
              <w:t>1 Year</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2 Years</w:t>
            </w:r>
          </w:p>
        </w:tc>
        <w:tc>
          <w:tcPr>
            <w:tcW w:w="1840" w:type="dxa"/>
            <w:vAlign w:val="bottom"/>
            <w:tcBorders>
              <w:bottom w:val="single" w:sz="8" w:color="auto"/>
            </w:tcBorders>
          </w:tcPr>
          <w:p>
            <w:pPr>
              <w:jc w:val="center"/>
              <w:ind w:left="322"/>
              <w:spacing w:after="0"/>
              <w:rPr>
                <w:sz w:val="20"/>
                <w:szCs w:val="20"/>
                <w:color w:val="auto"/>
              </w:rPr>
            </w:pPr>
            <w:r>
              <w:rPr>
                <w:rFonts w:ascii="Arial" w:cs="Arial" w:eastAsia="Arial" w:hAnsi="Arial"/>
                <w:sz w:val="20"/>
                <w:szCs w:val="20"/>
                <w:b w:val="1"/>
                <w:bCs w:val="1"/>
                <w:color w:val="auto"/>
                <w:w w:val="87"/>
              </w:rPr>
              <w:t>3 Years</w:t>
            </w:r>
          </w:p>
        </w:tc>
        <w:tc>
          <w:tcPr>
            <w:tcW w:w="1340" w:type="dxa"/>
            <w:vAlign w:val="bottom"/>
            <w:tcBorders>
              <w:bottom w:val="single" w:sz="8" w:color="auto"/>
            </w:tcBorders>
          </w:tcPr>
          <w:p>
            <w:pPr>
              <w:jc w:val="center"/>
              <w:ind w:left="182"/>
              <w:spacing w:after="0"/>
              <w:rPr>
                <w:sz w:val="20"/>
                <w:szCs w:val="20"/>
                <w:color w:val="auto"/>
              </w:rPr>
            </w:pPr>
            <w:r>
              <w:rPr>
                <w:rFonts w:ascii="Arial" w:cs="Arial" w:eastAsia="Arial" w:hAnsi="Arial"/>
                <w:sz w:val="20"/>
                <w:szCs w:val="20"/>
                <w:b w:val="1"/>
                <w:bCs w:val="1"/>
                <w:color w:val="auto"/>
                <w:w w:val="88"/>
              </w:rPr>
              <w:t>Abstained</w:t>
            </w:r>
          </w:p>
        </w:tc>
        <w:tc>
          <w:tcPr>
            <w:tcW w:w="1740" w:type="dxa"/>
            <w:vAlign w:val="bottom"/>
            <w:tcBorders>
              <w:bottom w:val="single" w:sz="8" w:color="auto"/>
            </w:tcBorders>
          </w:tcPr>
          <w:p>
            <w:pPr>
              <w:jc w:val="center"/>
              <w:ind w:left="142"/>
              <w:spacing w:after="0"/>
              <w:rPr>
                <w:sz w:val="20"/>
                <w:szCs w:val="20"/>
                <w:color w:val="auto"/>
              </w:rPr>
            </w:pPr>
            <w:r>
              <w:rPr>
                <w:rFonts w:ascii="Arial" w:cs="Arial" w:eastAsia="Arial" w:hAnsi="Arial"/>
                <w:sz w:val="20"/>
                <w:szCs w:val="20"/>
                <w:b w:val="1"/>
                <w:bCs w:val="1"/>
                <w:color w:val="auto"/>
                <w:w w:val="88"/>
              </w:rPr>
              <w:t>Broker Non-Votes</w:t>
            </w:r>
          </w:p>
        </w:tc>
        <w:tc>
          <w:tcPr>
            <w:tcW w:w="0" w:type="dxa"/>
            <w:vAlign w:val="bottom"/>
          </w:tcPr>
          <w:p>
            <w:pPr>
              <w:spacing w:after="0"/>
              <w:rPr>
                <w:sz w:val="1"/>
                <w:szCs w:val="1"/>
                <w:color w:val="auto"/>
              </w:rPr>
            </w:pPr>
          </w:p>
        </w:tc>
      </w:tr>
      <w:tr>
        <w:trPr>
          <w:trHeight w:val="432"/>
        </w:trPr>
        <w:tc>
          <w:tcPr>
            <w:tcW w:w="3840" w:type="dxa"/>
            <w:vAlign w:val="bottom"/>
            <w:gridSpan w:val="3"/>
          </w:tcPr>
          <w:p>
            <w:pPr>
              <w:spacing w:after="0"/>
              <w:rPr>
                <w:sz w:val="20"/>
                <w:szCs w:val="20"/>
                <w:color w:val="auto"/>
              </w:rPr>
            </w:pPr>
            <w:r>
              <w:rPr>
                <w:rFonts w:ascii="Arial" w:cs="Arial" w:eastAsia="Arial" w:hAnsi="Arial"/>
                <w:sz w:val="20"/>
                <w:szCs w:val="20"/>
                <w:color w:val="auto"/>
              </w:rPr>
              <w:t>3. Non-binding resolution to determine the</w:t>
            </w:r>
          </w:p>
        </w:tc>
        <w:tc>
          <w:tcPr>
            <w:tcW w:w="1820" w:type="dxa"/>
            <w:vAlign w:val="bottom"/>
            <w:gridSpan w:val="3"/>
          </w:tcPr>
          <w:p>
            <w:pPr>
              <w:jc w:val="right"/>
              <w:ind w:right="642"/>
              <w:spacing w:after="0"/>
              <w:rPr>
                <w:sz w:val="20"/>
                <w:szCs w:val="20"/>
                <w:color w:val="auto"/>
              </w:rPr>
            </w:pPr>
            <w:r>
              <w:rPr>
                <w:rFonts w:ascii="Arial" w:cs="Arial" w:eastAsia="Arial" w:hAnsi="Arial"/>
                <w:sz w:val="20"/>
                <w:szCs w:val="20"/>
                <w:color w:val="auto"/>
              </w:rPr>
              <w:t>54,290,969</w:t>
            </w:r>
          </w:p>
        </w:tc>
        <w:tc>
          <w:tcPr>
            <w:tcW w:w="740" w:type="dxa"/>
            <w:vAlign w:val="bottom"/>
          </w:tcPr>
          <w:p>
            <w:pPr>
              <w:jc w:val="right"/>
              <w:ind w:right="22"/>
              <w:spacing w:after="0"/>
              <w:rPr>
                <w:sz w:val="20"/>
                <w:szCs w:val="20"/>
                <w:color w:val="auto"/>
              </w:rPr>
            </w:pPr>
            <w:r>
              <w:rPr>
                <w:rFonts w:ascii="Arial" w:cs="Arial" w:eastAsia="Arial" w:hAnsi="Arial"/>
                <w:sz w:val="20"/>
                <w:szCs w:val="20"/>
                <w:color w:val="auto"/>
                <w:w w:val="98"/>
              </w:rPr>
              <w:t>18,123</w:t>
            </w:r>
          </w:p>
        </w:tc>
        <w:tc>
          <w:tcPr>
            <w:tcW w:w="1840" w:type="dxa"/>
            <w:vAlign w:val="bottom"/>
          </w:tcPr>
          <w:p>
            <w:pPr>
              <w:jc w:val="center"/>
              <w:ind w:left="322"/>
              <w:spacing w:after="0"/>
              <w:rPr>
                <w:sz w:val="20"/>
                <w:szCs w:val="20"/>
                <w:color w:val="auto"/>
              </w:rPr>
            </w:pPr>
            <w:r>
              <w:rPr>
                <w:rFonts w:ascii="Arial" w:cs="Arial" w:eastAsia="Arial" w:hAnsi="Arial"/>
                <w:sz w:val="20"/>
                <w:szCs w:val="20"/>
                <w:color w:val="auto"/>
                <w:w w:val="87"/>
              </w:rPr>
              <w:t>6,574,279</w:t>
            </w:r>
          </w:p>
        </w:tc>
        <w:tc>
          <w:tcPr>
            <w:tcW w:w="1340" w:type="dxa"/>
            <w:vAlign w:val="bottom"/>
          </w:tcPr>
          <w:p>
            <w:pPr>
              <w:jc w:val="right"/>
              <w:ind w:right="102"/>
              <w:spacing w:after="0"/>
              <w:rPr>
                <w:sz w:val="20"/>
                <w:szCs w:val="20"/>
                <w:color w:val="auto"/>
              </w:rPr>
            </w:pPr>
            <w:r>
              <w:rPr>
                <w:rFonts w:ascii="Arial" w:cs="Arial" w:eastAsia="Arial" w:hAnsi="Arial"/>
                <w:sz w:val="20"/>
                <w:szCs w:val="20"/>
                <w:color w:val="auto"/>
              </w:rPr>
              <w:t>167,094</w:t>
            </w:r>
          </w:p>
        </w:tc>
        <w:tc>
          <w:tcPr>
            <w:tcW w:w="1740" w:type="dxa"/>
            <w:vAlign w:val="bottom"/>
          </w:tcPr>
          <w:p>
            <w:pPr>
              <w:jc w:val="right"/>
              <w:ind w:right="262"/>
              <w:spacing w:after="0"/>
              <w:rPr>
                <w:sz w:val="20"/>
                <w:szCs w:val="20"/>
                <w:color w:val="auto"/>
              </w:rPr>
            </w:pPr>
            <w:r>
              <w:rPr>
                <w:rFonts w:ascii="Arial" w:cs="Arial" w:eastAsia="Arial" w:hAnsi="Arial"/>
                <w:sz w:val="20"/>
                <w:szCs w:val="20"/>
                <w:color w:val="auto"/>
              </w:rPr>
              <w:t>3,878,692</w:t>
            </w:r>
          </w:p>
        </w:tc>
        <w:tc>
          <w:tcPr>
            <w:tcW w:w="0" w:type="dxa"/>
            <w:vAlign w:val="bottom"/>
          </w:tcPr>
          <w:p>
            <w:pPr>
              <w:spacing w:after="0"/>
              <w:rPr>
                <w:sz w:val="1"/>
                <w:szCs w:val="1"/>
                <w:color w:val="auto"/>
              </w:rPr>
            </w:pPr>
          </w:p>
        </w:tc>
      </w:tr>
      <w:tr>
        <w:trPr>
          <w:trHeight w:val="243"/>
        </w:trPr>
        <w:tc>
          <w:tcPr>
            <w:tcW w:w="3840" w:type="dxa"/>
            <w:vAlign w:val="bottom"/>
            <w:gridSpan w:val="3"/>
          </w:tcPr>
          <w:p>
            <w:pPr>
              <w:spacing w:after="0"/>
              <w:rPr>
                <w:sz w:val="20"/>
                <w:szCs w:val="20"/>
                <w:color w:val="auto"/>
              </w:rPr>
            </w:pPr>
            <w:r>
              <w:rPr>
                <w:rFonts w:ascii="Arial" w:cs="Arial" w:eastAsia="Arial" w:hAnsi="Arial"/>
                <w:sz w:val="20"/>
                <w:szCs w:val="20"/>
                <w:color w:val="auto"/>
                <w:w w:val="95"/>
              </w:rPr>
              <w:t>frequency of future advisory votes to approve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100"/>
        <w:spacing w:after="0" w:line="237" w:lineRule="auto"/>
        <w:rPr>
          <w:sz w:val="20"/>
          <w:szCs w:val="20"/>
          <w:color w:val="auto"/>
        </w:rPr>
      </w:pPr>
      <w:r>
        <w:rPr>
          <w:rFonts w:ascii="Arial" w:cs="Arial" w:eastAsia="Arial" w:hAnsi="Arial"/>
          <w:sz w:val="20"/>
          <w:szCs w:val="20"/>
          <w:color w:val="auto"/>
        </w:rPr>
        <w:t>the compensation of the Company’s named</w:t>
      </w:r>
    </w:p>
    <w:p>
      <w:pPr>
        <w:ind w:left="100"/>
        <w:spacing w:after="0"/>
        <w:rPr>
          <w:sz w:val="20"/>
          <w:szCs w:val="20"/>
          <w:color w:val="auto"/>
        </w:rPr>
      </w:pPr>
      <w:r>
        <w:rPr>
          <w:rFonts w:ascii="Arial" w:cs="Arial" w:eastAsia="Arial" w:hAnsi="Arial"/>
          <w:sz w:val="20"/>
          <w:szCs w:val="20"/>
          <w:color w:val="auto"/>
        </w:rPr>
        <w:t>executive officers.</w:t>
      </w:r>
    </w:p>
    <w:p>
      <w:pPr>
        <w:spacing w:after="0" w:line="200" w:lineRule="exact"/>
        <w:rPr>
          <w:sz w:val="20"/>
          <w:szCs w:val="20"/>
          <w:color w:val="auto"/>
        </w:rPr>
      </w:pPr>
    </w:p>
    <w:p>
      <w:pPr>
        <w:spacing w:after="0" w:line="236" w:lineRule="exact"/>
        <w:rPr>
          <w:sz w:val="20"/>
          <w:szCs w:val="20"/>
          <w:color w:val="auto"/>
        </w:rPr>
      </w:pPr>
    </w:p>
    <w:p>
      <w:pPr>
        <w:jc w:val="both"/>
        <w:ind w:right="100" w:firstLine="878"/>
        <w:spacing w:after="0" w:line="312" w:lineRule="auto"/>
        <w:rPr>
          <w:sz w:val="20"/>
          <w:szCs w:val="20"/>
          <w:color w:val="auto"/>
        </w:rPr>
      </w:pPr>
      <w:r>
        <w:rPr>
          <w:rFonts w:ascii="Arial" w:cs="Arial" w:eastAsia="Arial" w:hAnsi="Arial"/>
          <w:sz w:val="17"/>
          <w:szCs w:val="17"/>
          <w:color w:val="auto"/>
        </w:rPr>
        <w:t>The Company’s shareholders recommended a frequency of every 1 year for proposal 3 set forth above. Consistent with the results of the shareholder advisory vote on proposal 3, the Company’s Board of Directors has determined that the Company will hold future shareholder advisory votes on executive compensation on an annual basis until the next shareholder advisory vote on the frequency of such advisory votes.</w:t>
      </w:r>
    </w:p>
    <w:p>
      <w:pPr>
        <w:spacing w:after="0" w:line="3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213360</wp:posOffset>
            </wp:positionV>
            <wp:extent cx="729043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520"/>
          </w:cols>
          <w:pgMar w:left="240" w:top="344" w:right="1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9"/>
        </w:trPr>
        <w:tc>
          <w:tcPr>
            <w:tcW w:w="43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2"/>
          </w:tcPr>
          <w:p>
            <w:pPr>
              <w:ind w:left="1020"/>
              <w:spacing w:after="0"/>
              <w:rPr>
                <w:sz w:val="20"/>
                <w:szCs w:val="20"/>
                <w:color w:val="auto"/>
              </w:rPr>
            </w:pPr>
            <w:r>
              <w:rPr>
                <w:rFonts w:ascii="Arial" w:cs="Arial" w:eastAsia="Arial" w:hAnsi="Arial"/>
                <w:sz w:val="20"/>
                <w:szCs w:val="20"/>
                <w:b w:val="1"/>
                <w:bCs w:val="1"/>
                <w:color w:val="auto"/>
              </w:rPr>
              <w:t>Number of Votes</w:t>
            </w:r>
          </w:p>
        </w:tc>
        <w:tc>
          <w:tcPr>
            <w:tcW w:w="1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66"/>
        </w:trPr>
        <w:tc>
          <w:tcPr>
            <w:tcW w:w="4300" w:type="dxa"/>
            <w:vAlign w:val="bottom"/>
            <w:vMerge w:val="restart"/>
          </w:tcPr>
          <w:p>
            <w:pPr>
              <w:spacing w:after="0"/>
              <w:rPr>
                <w:sz w:val="20"/>
                <w:szCs w:val="20"/>
                <w:color w:val="auto"/>
              </w:rPr>
            </w:pPr>
            <w:r>
              <w:rPr>
                <w:rFonts w:ascii="Arial" w:cs="Arial" w:eastAsia="Arial" w:hAnsi="Arial"/>
                <w:sz w:val="20"/>
                <w:szCs w:val="20"/>
                <w:color w:val="auto"/>
                <w:w w:val="95"/>
              </w:rPr>
              <w:t>4. Ratification of the appointment of Ernst &amp; Young</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Against</w:t>
            </w:r>
          </w:p>
        </w:tc>
        <w:tc>
          <w:tcPr>
            <w:tcW w:w="1600" w:type="dxa"/>
            <w:vAlign w:val="bottom"/>
            <w:tcBorders>
              <w:bottom w:val="single" w:sz="8" w:color="auto"/>
            </w:tcBorders>
          </w:tcPr>
          <w:p>
            <w:pPr>
              <w:jc w:val="center"/>
              <w:ind w:left="82"/>
              <w:spacing w:after="0"/>
              <w:rPr>
                <w:sz w:val="20"/>
                <w:szCs w:val="20"/>
                <w:color w:val="auto"/>
              </w:rPr>
            </w:pPr>
            <w:r>
              <w:rPr>
                <w:rFonts w:ascii="Arial" w:cs="Arial" w:eastAsia="Arial" w:hAnsi="Arial"/>
                <w:sz w:val="20"/>
                <w:szCs w:val="20"/>
                <w:b w:val="1"/>
                <w:bCs w:val="1"/>
                <w:color w:val="auto"/>
                <w:w w:val="88"/>
              </w:rPr>
              <w:t>Abstained</w:t>
            </w:r>
          </w:p>
        </w:tc>
        <w:tc>
          <w:tcPr>
            <w:tcW w:w="1920" w:type="dxa"/>
            <w:vAlign w:val="bottom"/>
            <w:tcBorders>
              <w:bottom w:val="single" w:sz="8" w:color="auto"/>
            </w:tcBorders>
          </w:tcPr>
          <w:p>
            <w:pPr>
              <w:jc w:val="center"/>
              <w:ind w:left="82"/>
              <w:spacing w:after="0"/>
              <w:rPr>
                <w:sz w:val="20"/>
                <w:szCs w:val="20"/>
                <w:color w:val="auto"/>
              </w:rPr>
            </w:pPr>
            <w:r>
              <w:rPr>
                <w:rFonts w:ascii="Arial" w:cs="Arial" w:eastAsia="Arial" w:hAnsi="Arial"/>
                <w:sz w:val="20"/>
                <w:szCs w:val="20"/>
                <w:b w:val="1"/>
                <w:bCs w:val="1"/>
                <w:color w:val="auto"/>
                <w:w w:val="88"/>
              </w:rPr>
              <w:t>Broker Non-Votes</w:t>
            </w:r>
          </w:p>
        </w:tc>
        <w:tc>
          <w:tcPr>
            <w:tcW w:w="0" w:type="dxa"/>
            <w:vAlign w:val="bottom"/>
          </w:tcPr>
          <w:p>
            <w:pPr>
              <w:spacing w:after="0"/>
              <w:rPr>
                <w:sz w:val="1"/>
                <w:szCs w:val="1"/>
                <w:color w:val="auto"/>
              </w:rPr>
            </w:pPr>
          </w:p>
        </w:tc>
      </w:tr>
      <w:tr>
        <w:trPr>
          <w:trHeight w:val="204"/>
        </w:trPr>
        <w:tc>
          <w:tcPr>
            <w:tcW w:w="4300" w:type="dxa"/>
            <w:vAlign w:val="bottom"/>
            <w:vMerge w:val="continue"/>
          </w:tcPr>
          <w:p>
            <w:pPr>
              <w:spacing w:after="0"/>
              <w:rPr>
                <w:sz w:val="17"/>
                <w:szCs w:val="17"/>
                <w:color w:val="auto"/>
              </w:rPr>
            </w:pPr>
          </w:p>
        </w:tc>
        <w:tc>
          <w:tcPr>
            <w:tcW w:w="1780" w:type="dxa"/>
            <w:vAlign w:val="bottom"/>
          </w:tcPr>
          <w:p>
            <w:pPr>
              <w:jc w:val="right"/>
              <w:ind w:right="362"/>
              <w:spacing w:after="0" w:line="204" w:lineRule="exact"/>
              <w:rPr>
                <w:sz w:val="20"/>
                <w:szCs w:val="20"/>
                <w:color w:val="auto"/>
              </w:rPr>
            </w:pPr>
            <w:r>
              <w:rPr>
                <w:rFonts w:ascii="Arial" w:cs="Arial" w:eastAsia="Arial" w:hAnsi="Arial"/>
                <w:sz w:val="20"/>
                <w:szCs w:val="20"/>
                <w:color w:val="auto"/>
              </w:rPr>
              <w:t>63,748,890</w:t>
            </w:r>
          </w:p>
        </w:tc>
        <w:tc>
          <w:tcPr>
            <w:tcW w:w="1720" w:type="dxa"/>
            <w:vAlign w:val="bottom"/>
          </w:tcPr>
          <w:p>
            <w:pPr>
              <w:jc w:val="right"/>
              <w:ind w:right="362"/>
              <w:spacing w:after="0" w:line="204" w:lineRule="exact"/>
              <w:rPr>
                <w:sz w:val="20"/>
                <w:szCs w:val="20"/>
                <w:color w:val="auto"/>
              </w:rPr>
            </w:pPr>
            <w:r>
              <w:rPr>
                <w:rFonts w:ascii="Arial" w:cs="Arial" w:eastAsia="Arial" w:hAnsi="Arial"/>
                <w:sz w:val="20"/>
                <w:szCs w:val="20"/>
                <w:color w:val="auto"/>
              </w:rPr>
              <w:t>1,121,880</w:t>
            </w:r>
          </w:p>
        </w:tc>
        <w:tc>
          <w:tcPr>
            <w:tcW w:w="1600" w:type="dxa"/>
            <w:vAlign w:val="bottom"/>
          </w:tcPr>
          <w:p>
            <w:pPr>
              <w:jc w:val="right"/>
              <w:ind w:right="342"/>
              <w:spacing w:after="0" w:line="204" w:lineRule="exact"/>
              <w:rPr>
                <w:sz w:val="20"/>
                <w:szCs w:val="20"/>
                <w:color w:val="auto"/>
              </w:rPr>
            </w:pPr>
            <w:r>
              <w:rPr>
                <w:rFonts w:ascii="Arial" w:cs="Arial" w:eastAsia="Arial" w:hAnsi="Arial"/>
                <w:sz w:val="20"/>
                <w:szCs w:val="20"/>
                <w:color w:val="auto"/>
              </w:rPr>
              <w:t>58,387</w:t>
            </w:r>
          </w:p>
        </w:tc>
        <w:tc>
          <w:tcPr>
            <w:tcW w:w="1920" w:type="dxa"/>
            <w:vAlign w:val="bottom"/>
          </w:tcPr>
          <w:p>
            <w:pPr>
              <w:jc w:val="right"/>
              <w:ind w:right="722"/>
              <w:spacing w:after="0" w:line="204"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227"/>
        </w:trPr>
        <w:tc>
          <w:tcPr>
            <w:tcW w:w="4300" w:type="dxa"/>
            <w:vAlign w:val="bottom"/>
          </w:tcPr>
          <w:p>
            <w:pPr>
              <w:spacing w:after="0" w:line="228" w:lineRule="exact"/>
              <w:rPr>
                <w:sz w:val="20"/>
                <w:szCs w:val="20"/>
                <w:color w:val="auto"/>
              </w:rPr>
            </w:pPr>
            <w:r>
              <w:rPr>
                <w:rFonts w:ascii="Arial" w:cs="Arial" w:eastAsia="Arial" w:hAnsi="Arial"/>
                <w:sz w:val="20"/>
                <w:szCs w:val="20"/>
                <w:color w:val="auto"/>
                <w:w w:val="91"/>
              </w:rPr>
              <w:t>LLP as the Company’s independent registered public</w:t>
            </w:r>
          </w:p>
        </w:tc>
        <w:tc>
          <w:tcPr>
            <w:tcW w:w="1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00" w:type="dxa"/>
            <w:vAlign w:val="bottom"/>
          </w:tcPr>
          <w:p>
            <w:pPr>
              <w:spacing w:after="0" w:line="228" w:lineRule="exact"/>
              <w:rPr>
                <w:sz w:val="20"/>
                <w:szCs w:val="20"/>
                <w:color w:val="auto"/>
              </w:rPr>
            </w:pPr>
            <w:r>
              <w:rPr>
                <w:rFonts w:ascii="Arial" w:cs="Arial" w:eastAsia="Arial" w:hAnsi="Arial"/>
                <w:sz w:val="20"/>
                <w:szCs w:val="20"/>
                <w:color w:val="auto"/>
                <w:w w:val="93"/>
              </w:rPr>
              <w:t>accounting firm for the fiscal year ending December</w:t>
            </w:r>
          </w:p>
        </w:tc>
        <w:tc>
          <w:tcPr>
            <w:tcW w:w="17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300" w:type="dxa"/>
            <w:vAlign w:val="bottom"/>
          </w:tcPr>
          <w:p>
            <w:pPr>
              <w:spacing w:after="0"/>
              <w:rPr>
                <w:sz w:val="20"/>
                <w:szCs w:val="20"/>
                <w:color w:val="auto"/>
              </w:rPr>
            </w:pPr>
            <w:r>
              <w:rPr>
                <w:rFonts w:ascii="Arial" w:cs="Arial" w:eastAsia="Arial" w:hAnsi="Arial"/>
                <w:sz w:val="20"/>
                <w:szCs w:val="20"/>
                <w:color w:val="auto"/>
              </w:rPr>
              <w:t>31, 2017.</w:t>
            </w:r>
          </w:p>
        </w:tc>
        <w:tc>
          <w:tcPr>
            <w:tcW w:w="1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ind w:left="780"/>
        <w:spacing w:after="0"/>
        <w:rPr>
          <w:sz w:val="20"/>
          <w:szCs w:val="20"/>
          <w:color w:val="auto"/>
        </w:rPr>
      </w:pPr>
      <w:r>
        <w:rPr>
          <w:rFonts w:ascii="Arial" w:cs="Arial" w:eastAsia="Arial" w:hAnsi="Arial"/>
          <w:sz w:val="20"/>
          <w:szCs w:val="20"/>
          <w:color w:val="auto"/>
        </w:rPr>
        <w:t>The Company’s shareholders approved proposal 4 set forth above.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145415</wp:posOffset>
            </wp:positionV>
            <wp:extent cx="729043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20"/>
          </w:cols>
          <w:pgMar w:left="340" w:top="34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878"/>
        <w:spacing w:after="0" w:line="257" w:lineRule="auto"/>
        <w:rPr>
          <w:sz w:val="20"/>
          <w:szCs w:val="20"/>
          <w:color w:val="auto"/>
        </w:rPr>
      </w:pPr>
      <w:r>
        <w:rPr>
          <w:rFonts w:ascii="Arial" w:cs="Arial" w:eastAsia="Arial" w:hAnsi="Arial"/>
          <w:sz w:val="20"/>
          <w:szCs w:val="20"/>
          <w:color w:val="auto"/>
        </w:rPr>
        <w:t>Pursuant to the requirements of the Securities Exchange Act of 1934, the Company has duly caused this report to be signed on its behalf by the undersigned, hereunto duly authorized.</w:t>
      </w:r>
    </w:p>
    <w:p>
      <w:pPr>
        <w:spacing w:after="0" w:line="184" w:lineRule="exact"/>
        <w:rPr>
          <w:sz w:val="20"/>
          <w:szCs w:val="20"/>
          <w:color w:val="auto"/>
        </w:rPr>
      </w:pPr>
    </w:p>
    <w:p>
      <w:pPr>
        <w:ind w:left="5280"/>
        <w:spacing w:after="0"/>
        <w:rPr>
          <w:sz w:val="20"/>
          <w:szCs w:val="20"/>
          <w:color w:val="auto"/>
        </w:rPr>
      </w:pPr>
      <w:r>
        <w:rPr>
          <w:rFonts w:ascii="Arial" w:cs="Arial" w:eastAsia="Arial" w:hAnsi="Arial"/>
          <w:sz w:val="20"/>
          <w:szCs w:val="20"/>
          <w:b w:val="1"/>
          <w:bCs w:val="1"/>
          <w:color w:val="auto"/>
        </w:rPr>
        <w:t>M</w:t>
      </w:r>
      <w:r>
        <w:rPr>
          <w:rFonts w:ascii="Arial" w:cs="Arial" w:eastAsia="Arial" w:hAnsi="Arial"/>
          <w:sz w:val="13"/>
          <w:szCs w:val="13"/>
          <w:b w:val="1"/>
          <w:bCs w:val="1"/>
          <w:color w:val="auto"/>
        </w:rPr>
        <w:t>ANHATTAN</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SSOCIATES</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1" w:lineRule="exact"/>
        <w:rPr>
          <w:sz w:val="20"/>
          <w:szCs w:val="20"/>
          <w:color w:val="auto"/>
        </w:rPr>
      </w:pPr>
    </w:p>
    <w:p>
      <w:pPr>
        <w:ind w:left="5280"/>
        <w:spacing w:after="0"/>
        <w:tabs>
          <w:tab w:leader="none" w:pos="5700" w:val="left"/>
        </w:tabs>
        <w:rPr>
          <w:sz w:val="20"/>
          <w:szCs w:val="20"/>
          <w:color w:val="auto"/>
        </w:rPr>
      </w:pPr>
      <w:r>
        <w:rPr>
          <w:rFonts w:ascii="Arial" w:cs="Arial" w:eastAsia="Arial" w:hAnsi="Arial"/>
          <w:sz w:val="18"/>
          <w:szCs w:val="18"/>
          <w:color w:val="auto"/>
        </w:rPr>
        <w:t>By:</w:t>
        <w:tab/>
        <w:t>/s/ Dennis B. Story</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Dennis B.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3611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1245" cy="8255"/>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Executive Vice President, Chief Financial Officer</w:t>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Dated: May 19, 2017</w:t>
      </w:r>
    </w:p>
    <w:sectPr>
      <w:pgSz w:w="11900" w:h="16838" w:orient="portrait"/>
      <w:cols w:equalWidth="0" w:num="1">
        <w:col w:w="11420"/>
      </w:cols>
      <w:pgMar w:left="240" w:top="3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2019-12-06T08:37:26Z</dcterms:created>
  <dcterms:modified xsi:type="dcterms:W3CDTF">2019-12-06T08:37:26Z</dcterms:modified>
</cp:coreProperties>
</file>