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791845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98425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640" w:hanging="632"/>
        <w:spacing w:after="0"/>
        <w:tabs>
          <w:tab w:leader="none" w:pos="640"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ind w:left="640"/>
        <w:spacing w:after="0" w:line="236" w:lineRule="auto"/>
        <w:rPr>
          <w:sz w:val="20"/>
          <w:szCs w:val="20"/>
          <w:color w:val="auto"/>
        </w:rPr>
      </w:pPr>
      <w:r>
        <w:rPr>
          <w:rFonts w:ascii="Times New Roman" w:cs="Times New Roman" w:eastAsia="Times New Roman" w:hAnsi="Times New Roman"/>
          <w:sz w:val="22"/>
          <w:szCs w:val="22"/>
          <w:b w:val="1"/>
          <w:bCs w:val="1"/>
          <w:color w:val="auto"/>
        </w:rPr>
        <w:t>1934</w:t>
      </w:r>
    </w:p>
    <w:p>
      <w:pPr>
        <w:spacing w:after="0" w:line="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2026</w:t>
      </w:r>
    </w:p>
    <w:p>
      <w:pPr>
        <w:spacing w:after="0" w:line="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67" w:lineRule="exact"/>
        <w:rPr>
          <w:sz w:val="24"/>
          <w:szCs w:val="24"/>
          <w:color w:val="auto"/>
        </w:rPr>
      </w:pPr>
    </w:p>
    <w:p>
      <w:pPr>
        <w:ind w:left="640" w:right="40" w:hanging="632"/>
        <w:spacing w:after="0" w:line="262" w:lineRule="auto"/>
        <w:tabs>
          <w:tab w:leader="none" w:pos="6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____________ to ____________</w:t>
      </w:r>
    </w:p>
    <w:p>
      <w:pPr>
        <w:spacing w:after="0" w:line="9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Commission File Number: 0-23999</w:t>
      </w:r>
    </w:p>
    <w:p>
      <w:pPr>
        <w:spacing w:after="0" w:line="4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MANHATTAN ASSOCIATES, INC.</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107315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0" w:lineRule="exact"/>
        <w:rPr>
          <w:sz w:val="24"/>
          <w:szCs w:val="24"/>
          <w:color w:val="auto"/>
        </w:rPr>
      </w:pPr>
    </w:p>
    <w:tbl>
      <w:tblPr>
        <w:tblLayout w:type="fixed"/>
        <w:tblInd w:w="10" w:type="dxa"/>
        <w:tblCellMar>
          <w:top w:w="0" w:type="dxa"/>
          <w:left w:w="0" w:type="dxa"/>
          <w:bottom w:w="0" w:type="dxa"/>
          <w:right w:w="0" w:type="dxa"/>
        </w:tblCellMar>
      </w:tblPr>
      <w:tr>
        <w:trPr>
          <w:trHeight w:val="214"/>
        </w:trPr>
        <w:tc>
          <w:tcPr>
            <w:tcW w:w="4300" w:type="dxa"/>
            <w:vAlign w:val="bottom"/>
          </w:tcPr>
          <w:p>
            <w:pPr>
              <w:jc w:val="center"/>
              <w:ind w:right="358"/>
              <w:spacing w:after="0"/>
              <w:rPr>
                <w:sz w:val="20"/>
                <w:szCs w:val="20"/>
                <w:color w:val="auto"/>
              </w:rPr>
            </w:pPr>
            <w:r>
              <w:rPr>
                <w:rFonts w:ascii="Times New Roman" w:cs="Times New Roman" w:eastAsia="Times New Roman" w:hAnsi="Times New Roman"/>
                <w:sz w:val="18"/>
                <w:szCs w:val="18"/>
                <w:b w:val="1"/>
                <w:bCs w:val="1"/>
                <w:color w:val="auto"/>
                <w:w w:val="99"/>
              </w:rPr>
              <w:t>Georgia</w:t>
            </w:r>
          </w:p>
        </w:tc>
        <w:tc>
          <w:tcPr>
            <w:tcW w:w="1660" w:type="dxa"/>
            <w:vAlign w:val="bottom"/>
          </w:tcPr>
          <w:p>
            <w:pPr>
              <w:spacing w:after="0"/>
              <w:rPr>
                <w:sz w:val="18"/>
                <w:szCs w:val="18"/>
                <w:color w:val="auto"/>
              </w:rPr>
            </w:pPr>
          </w:p>
        </w:tc>
        <w:tc>
          <w:tcPr>
            <w:tcW w:w="5060" w:type="dxa"/>
            <w:vAlign w:val="bottom"/>
          </w:tcPr>
          <w:p>
            <w:pPr>
              <w:jc w:val="right"/>
              <w:ind w:right="1080"/>
              <w:spacing w:after="0"/>
              <w:rPr>
                <w:sz w:val="20"/>
                <w:szCs w:val="20"/>
                <w:color w:val="auto"/>
              </w:rPr>
            </w:pPr>
            <w:r>
              <w:rPr>
                <w:rFonts w:ascii="Times New Roman" w:cs="Times New Roman" w:eastAsia="Times New Roman" w:hAnsi="Times New Roman"/>
                <w:sz w:val="18"/>
                <w:szCs w:val="18"/>
                <w:b w:val="1"/>
                <w:bCs w:val="1"/>
                <w:color w:val="auto"/>
              </w:rPr>
              <w:t>58-2373424</w:t>
            </w:r>
          </w:p>
        </w:tc>
      </w:tr>
      <w:tr>
        <w:trPr>
          <w:trHeight w:val="149"/>
        </w:trPr>
        <w:tc>
          <w:tcPr>
            <w:tcW w:w="4300" w:type="dxa"/>
            <w:vAlign w:val="bottom"/>
          </w:tcPr>
          <w:p>
            <w:pPr>
              <w:jc w:val="center"/>
              <w:ind w:right="39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660" w:type="dxa"/>
            <w:vAlign w:val="bottom"/>
          </w:tcPr>
          <w:p>
            <w:pPr>
              <w:spacing w:after="0"/>
              <w:rPr>
                <w:sz w:val="12"/>
                <w:szCs w:val="12"/>
                <w:color w:val="auto"/>
              </w:rPr>
            </w:pPr>
          </w:p>
        </w:tc>
        <w:tc>
          <w:tcPr>
            <w:tcW w:w="5060" w:type="dxa"/>
            <w:vAlign w:val="bottom"/>
          </w:tcPr>
          <w:p>
            <w:pPr>
              <w:jc w:val="center"/>
              <w:ind w:left="174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300" w:type="dxa"/>
            <w:vAlign w:val="bottom"/>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660" w:type="dxa"/>
            <w:vAlign w:val="bottom"/>
          </w:tcPr>
          <w:p>
            <w:pPr>
              <w:spacing w:after="0"/>
              <w:rPr>
                <w:sz w:val="16"/>
                <w:szCs w:val="16"/>
                <w:color w:val="auto"/>
              </w:rPr>
            </w:pPr>
          </w:p>
        </w:tc>
        <w:tc>
          <w:tcPr>
            <w:tcW w:w="5060" w:type="dxa"/>
            <w:vAlign w:val="bottom"/>
          </w:tcPr>
          <w:p>
            <w:pPr>
              <w:jc w:val="center"/>
              <w:ind w:left="17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12"/>
        </w:trPr>
        <w:tc>
          <w:tcPr>
            <w:tcW w:w="4300" w:type="dxa"/>
            <w:vAlign w:val="bottom"/>
          </w:tcPr>
          <w:p>
            <w:pPr>
              <w:jc w:val="center"/>
              <w:ind w:right="358"/>
              <w:spacing w:after="0"/>
              <w:rPr>
                <w:sz w:val="20"/>
                <w:szCs w:val="20"/>
                <w:color w:val="auto"/>
              </w:rPr>
            </w:pPr>
            <w:r>
              <w:rPr>
                <w:rFonts w:ascii="Times New Roman" w:cs="Times New Roman" w:eastAsia="Times New Roman" w:hAnsi="Times New Roman"/>
                <w:sz w:val="18"/>
                <w:szCs w:val="18"/>
                <w:b w:val="1"/>
                <w:bCs w:val="1"/>
                <w:color w:val="auto"/>
              </w:rPr>
              <w:t>2300 Windy Ridge Parkway, Tenth Floor</w:t>
            </w:r>
          </w:p>
        </w:tc>
        <w:tc>
          <w:tcPr>
            <w:tcW w:w="166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38"/>
        </w:trPr>
        <w:tc>
          <w:tcPr>
            <w:tcW w:w="4300" w:type="dxa"/>
            <w:vAlign w:val="bottom"/>
          </w:tcPr>
          <w:p>
            <w:pPr>
              <w:jc w:val="center"/>
              <w:ind w:right="358"/>
              <w:spacing w:after="0"/>
              <w:rPr>
                <w:sz w:val="20"/>
                <w:szCs w:val="20"/>
                <w:color w:val="auto"/>
              </w:rPr>
            </w:pPr>
            <w:r>
              <w:rPr>
                <w:rFonts w:ascii="Times New Roman" w:cs="Times New Roman" w:eastAsia="Times New Roman" w:hAnsi="Times New Roman"/>
                <w:sz w:val="18"/>
                <w:szCs w:val="18"/>
                <w:b w:val="1"/>
                <w:bCs w:val="1"/>
                <w:color w:val="auto"/>
              </w:rPr>
              <w:t>Atlanta, Georgia</w:t>
            </w:r>
          </w:p>
        </w:tc>
        <w:tc>
          <w:tcPr>
            <w:tcW w:w="1660" w:type="dxa"/>
            <w:vAlign w:val="bottom"/>
          </w:tcPr>
          <w:p>
            <w:pPr>
              <w:spacing w:after="0"/>
              <w:rPr>
                <w:sz w:val="20"/>
                <w:szCs w:val="20"/>
                <w:color w:val="auto"/>
              </w:rPr>
            </w:pPr>
          </w:p>
        </w:tc>
        <w:tc>
          <w:tcPr>
            <w:tcW w:w="5060" w:type="dxa"/>
            <w:vAlign w:val="bottom"/>
          </w:tcPr>
          <w:p>
            <w:pPr>
              <w:jc w:val="right"/>
              <w:ind w:right="1300"/>
              <w:spacing w:after="0"/>
              <w:rPr>
                <w:sz w:val="20"/>
                <w:szCs w:val="20"/>
                <w:color w:val="auto"/>
              </w:rPr>
            </w:pPr>
            <w:r>
              <w:rPr>
                <w:rFonts w:ascii="Times New Roman" w:cs="Times New Roman" w:eastAsia="Times New Roman" w:hAnsi="Times New Roman"/>
                <w:sz w:val="18"/>
                <w:szCs w:val="18"/>
                <w:b w:val="1"/>
                <w:bCs w:val="1"/>
                <w:color w:val="auto"/>
              </w:rPr>
              <w:t>30339</w:t>
            </w:r>
          </w:p>
        </w:tc>
      </w:tr>
      <w:tr>
        <w:trPr>
          <w:trHeight w:val="192"/>
        </w:trPr>
        <w:tc>
          <w:tcPr>
            <w:tcW w:w="4300" w:type="dxa"/>
            <w:vAlign w:val="bottom"/>
          </w:tcPr>
          <w:p>
            <w:pPr>
              <w:jc w:val="center"/>
              <w:ind w:right="358"/>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660" w:type="dxa"/>
            <w:vAlign w:val="bottom"/>
          </w:tcPr>
          <w:p>
            <w:pPr>
              <w:spacing w:after="0"/>
              <w:rPr>
                <w:sz w:val="16"/>
                <w:szCs w:val="16"/>
                <w:color w:val="auto"/>
              </w:rPr>
            </w:pPr>
          </w:p>
        </w:tc>
        <w:tc>
          <w:tcPr>
            <w:tcW w:w="5060" w:type="dxa"/>
            <w:vAlign w:val="bottom"/>
          </w:tcPr>
          <w:p>
            <w:pPr>
              <w:jc w:val="center"/>
              <w:ind w:left="180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80"/>
        </w:trPr>
        <w:tc>
          <w:tcPr>
            <w:tcW w:w="11020" w:type="dxa"/>
            <w:vAlign w:val="bottom"/>
            <w:gridSpan w:val="3"/>
          </w:tcPr>
          <w:p>
            <w:pPr>
              <w:ind w:left="292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(770) 955-7070</w:t>
            </w:r>
          </w:p>
        </w:tc>
      </w:tr>
      <w:tr>
        <w:trPr>
          <w:trHeight w:val="353"/>
        </w:trPr>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660" w:type="dxa"/>
            <w:vAlign w:val="bottom"/>
            <w:tcBorders>
              <w:bottom w:val="single" w:sz="8" w:color="auto"/>
            </w:tcBorders>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r>
        <w:trPr>
          <w:trHeight w:val="165"/>
        </w:trPr>
        <w:tc>
          <w:tcPr>
            <w:tcW w:w="4300" w:type="dxa"/>
            <w:vAlign w:val="bottom"/>
            <w:tcBorders>
              <w:left w:val="single" w:sz="8" w:color="auto"/>
              <w:right w:val="single" w:sz="8" w:color="auto"/>
            </w:tcBorders>
          </w:tcPr>
          <w:p>
            <w:pPr>
              <w:spacing w:after="0"/>
              <w:rPr>
                <w:sz w:val="14"/>
                <w:szCs w:val="14"/>
                <w:color w:val="auto"/>
              </w:rPr>
            </w:pPr>
          </w:p>
        </w:tc>
        <w:tc>
          <w:tcPr>
            <w:tcW w:w="1660" w:type="dxa"/>
            <w:vAlign w:val="bottom"/>
            <w:tcBorders>
              <w:right w:val="single" w:sz="8" w:color="auto"/>
            </w:tcBorders>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w w:val="99"/>
              </w:rPr>
              <w:t>Trading</w:t>
            </w:r>
          </w:p>
        </w:tc>
        <w:tc>
          <w:tcPr>
            <w:tcW w:w="5060" w:type="dxa"/>
            <w:vAlign w:val="bottom"/>
            <w:tcBorders>
              <w:right w:val="single" w:sz="8" w:color="auto"/>
            </w:tcBorders>
          </w:tcPr>
          <w:p>
            <w:pPr>
              <w:spacing w:after="0"/>
              <w:rPr>
                <w:sz w:val="14"/>
                <w:szCs w:val="14"/>
                <w:color w:val="auto"/>
              </w:rPr>
            </w:pPr>
          </w:p>
        </w:tc>
      </w:tr>
      <w:tr>
        <w:trPr>
          <w:trHeight w:val="234"/>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5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1"/>
        </w:trPr>
        <w:tc>
          <w:tcPr>
            <w:tcW w:w="430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Common stock</w:t>
            </w:r>
          </w:p>
        </w:tc>
        <w:tc>
          <w:tcPr>
            <w:tcW w:w="16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MANH</w:t>
            </w:r>
          </w:p>
        </w:tc>
        <w:tc>
          <w:tcPr>
            <w:tcW w:w="50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63" w:lineRule="exact"/>
        <w:rPr>
          <w:sz w:val="24"/>
          <w:szCs w:val="24"/>
          <w:color w:val="auto"/>
        </w:rPr>
      </w:pPr>
    </w:p>
    <w:p>
      <w:pPr>
        <w:ind w:right="100"/>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2" w:lineRule="exact"/>
        <w:rPr>
          <w:sz w:val="24"/>
          <w:szCs w:val="24"/>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1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7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16"/>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1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780" w:type="dxa"/>
            <w:vAlign w:val="bottom"/>
          </w:tcPr>
          <w:p>
            <w:pPr>
              <w:ind w:left="25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287"/>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10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780" w:type="dxa"/>
            <w:vAlign w:val="bottom"/>
          </w:tcPr>
          <w:p>
            <w:pPr>
              <w:spacing w:after="0"/>
              <w:rPr>
                <w:sz w:val="24"/>
                <w:szCs w:val="24"/>
                <w:color w:val="auto"/>
              </w:rPr>
            </w:pPr>
          </w:p>
        </w:tc>
        <w:tc>
          <w:tcPr>
            <w:tcW w:w="460" w:type="dxa"/>
            <w:vAlign w:val="bottom"/>
          </w:tcPr>
          <w:p>
            <w:pPr>
              <w:spacing w:after="0"/>
              <w:rPr>
                <w:sz w:val="24"/>
                <w:szCs w:val="24"/>
                <w:color w:val="auto"/>
              </w:rPr>
            </w:pPr>
          </w:p>
        </w:tc>
      </w:tr>
    </w:tbl>
    <w:p>
      <w:pPr>
        <w:spacing w:after="0" w:line="39" w:lineRule="exact"/>
        <w:rPr>
          <w:sz w:val="24"/>
          <w:szCs w:val="24"/>
          <w:color w:val="auto"/>
        </w:rPr>
      </w:pPr>
    </w:p>
    <w:p>
      <w:pPr>
        <w:ind w:right="1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class of capital stock outstanding as of April 21, 2026, the latest practicable date, is as follows: 59,164,602 shares of common stock, $0.01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795655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321" w:right="379" w:bottom="1440" w:gutter="0" w:footer="0" w:header="0"/>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MANHATTAN ASSOCIATES,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 Ended March 31, 2026</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5280" w:type="dxa"/>
            <w:vAlign w:val="bottom"/>
            <w:gridSpan w:val="12"/>
          </w:tcPr>
          <w:p>
            <w:pPr>
              <w:jc w:val="center"/>
              <w:ind w:right="2880"/>
              <w:spacing w:after="0"/>
              <w:rPr>
                <w:sz w:val="20"/>
                <w:szCs w:val="20"/>
                <w:color w:val="auto"/>
              </w:rPr>
            </w:pPr>
            <w:r>
              <w:rPr>
                <w:rFonts w:ascii="Times New Roman" w:cs="Times New Roman" w:eastAsia="Times New Roman" w:hAnsi="Times New Roman"/>
                <w:sz w:val="18"/>
                <w:szCs w:val="18"/>
                <w:b w:val="1"/>
                <w:bCs w:val="1"/>
                <w:color w:val="0000FF"/>
                <w:w w:val="99"/>
              </w:rPr>
              <w:t>FINANCIAL INFORMATION</w:t>
            </w:r>
          </w:p>
        </w:tc>
        <w:tc>
          <w:tcPr>
            <w:tcW w:w="1420" w:type="dxa"/>
            <w:vAlign w:val="bottom"/>
          </w:tcPr>
          <w:p>
            <w:pPr>
              <w:spacing w:after="0"/>
              <w:rPr>
                <w:sz w:val="17"/>
                <w:szCs w:val="17"/>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362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FF"/>
              </w:rPr>
              <w:t>Financial Statements.</w:t>
            </w:r>
          </w:p>
        </w:tc>
        <w:tc>
          <w:tcPr>
            <w:tcW w:w="2400" w:type="dxa"/>
            <w:vAlign w:val="bottom"/>
            <w:tcBorders>
              <w:top w:val="single" w:sz="8" w:color="0000FF"/>
            </w:tcBorders>
            <w:gridSpan w:val="6"/>
          </w:tcPr>
          <w:p>
            <w:pPr>
              <w:spacing w:after="0"/>
              <w:rPr>
                <w:sz w:val="24"/>
                <w:szCs w:val="24"/>
                <w:color w:val="auto"/>
              </w:rPr>
            </w:pPr>
          </w:p>
        </w:tc>
        <w:tc>
          <w:tcPr>
            <w:tcW w:w="2880" w:type="dxa"/>
            <w:vAlign w:val="bottom"/>
            <w:gridSpan w:val="6"/>
          </w:tcPr>
          <w:p>
            <w:pPr>
              <w:spacing w:after="0"/>
              <w:rPr>
                <w:sz w:val="24"/>
                <w:szCs w:val="24"/>
                <w:color w:val="auto"/>
              </w:rPr>
            </w:pPr>
          </w:p>
        </w:tc>
        <w:tc>
          <w:tcPr>
            <w:tcW w:w="1420" w:type="dxa"/>
            <w:vAlign w:val="bottom"/>
          </w:tcPr>
          <w:p>
            <w:pPr>
              <w:spacing w:after="0"/>
              <w:rPr>
                <w:sz w:val="24"/>
                <w:szCs w:val="24"/>
                <w:color w:val="auto"/>
              </w:rPr>
            </w:pPr>
          </w:p>
        </w:tc>
      </w:tr>
      <w:tr>
        <w:trPr>
          <w:trHeight w:val="20"/>
        </w:trPr>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500" w:type="dxa"/>
            <w:vAlign w:val="bottom"/>
          </w:tcPr>
          <w:p>
            <w:pPr>
              <w:spacing w:after="0"/>
              <w:rPr>
                <w:sz w:val="24"/>
                <w:szCs w:val="24"/>
                <w:color w:val="auto"/>
              </w:rPr>
            </w:pPr>
          </w:p>
        </w:tc>
        <w:tc>
          <w:tcPr>
            <w:tcW w:w="9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as of March 31, 2026 (unaudited) and December 31, 2025</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500" w:type="dxa"/>
            <w:vAlign w:val="bottom"/>
          </w:tcPr>
          <w:p>
            <w:pPr>
              <w:spacing w:after="0"/>
              <w:rPr>
                <w:sz w:val="24"/>
                <w:szCs w:val="24"/>
                <w:color w:val="auto"/>
              </w:rPr>
            </w:pPr>
          </w:p>
        </w:tc>
        <w:tc>
          <w:tcPr>
            <w:tcW w:w="9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months ended March 31, 2026 (unaudited)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500" w:type="dxa"/>
            <w:vAlign w:val="bottom"/>
          </w:tcPr>
          <w:p>
            <w:pPr>
              <w:spacing w:after="0"/>
              <w:rPr>
                <w:sz w:val="24"/>
                <w:szCs w:val="24"/>
                <w:color w:val="auto"/>
              </w:rPr>
            </w:pPr>
          </w:p>
        </w:tc>
        <w:tc>
          <w:tcPr>
            <w:tcW w:w="9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months ended March 31, 2026 and 2025 (unaudited)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160" w:type="dxa"/>
            <w:vAlign w:val="bottom"/>
            <w:tcBorders>
              <w:right w:val="single" w:sz="8" w:color="0000FF"/>
            </w:tcBorders>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500" w:type="dxa"/>
            <w:vAlign w:val="bottom"/>
          </w:tcPr>
          <w:p>
            <w:pPr>
              <w:spacing w:after="0"/>
              <w:rPr>
                <w:sz w:val="24"/>
                <w:szCs w:val="24"/>
                <w:color w:val="auto"/>
              </w:rPr>
            </w:pPr>
          </w:p>
        </w:tc>
        <w:tc>
          <w:tcPr>
            <w:tcW w:w="9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three months ended March 31, 2026 and 2025 (unaudited)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160" w:type="dxa"/>
            <w:vAlign w:val="bottom"/>
            <w:tcBorders>
              <w:right w:val="single" w:sz="8" w:color="0000EE"/>
            </w:tcBorders>
            <w:gridSpan w:val="2"/>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500" w:type="dxa"/>
            <w:vAlign w:val="bottom"/>
          </w:tcPr>
          <w:p>
            <w:pPr>
              <w:spacing w:after="0"/>
              <w:rPr>
                <w:sz w:val="24"/>
                <w:szCs w:val="24"/>
                <w:color w:val="auto"/>
              </w:rPr>
            </w:pPr>
          </w:p>
        </w:tc>
        <w:tc>
          <w:tcPr>
            <w:tcW w:w="9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Statements of Shareholders’ Equity for the three months ended March 31, 2026 and 2025 (unaudited)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500" w:type="dxa"/>
            <w:vAlign w:val="bottom"/>
            <w:tcBorders>
              <w:right w:val="single" w:sz="8" w:color="0000EE"/>
            </w:tcBorders>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500" w:type="dxa"/>
            <w:vAlign w:val="bottom"/>
          </w:tcPr>
          <w:p>
            <w:pPr>
              <w:spacing w:after="0"/>
              <w:rPr>
                <w:sz w:val="24"/>
                <w:szCs w:val="24"/>
                <w:color w:val="auto"/>
              </w:rPr>
            </w:pPr>
          </w:p>
        </w:tc>
        <w:tc>
          <w:tcPr>
            <w:tcW w:w="932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500" w:type="dxa"/>
            <w:vAlign w:val="bottom"/>
            <w:tcBorders>
              <w:right w:val="single" w:sz="8" w:color="0000FF"/>
            </w:tcBorders>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Management’s Discussion and Analysis of Financial Condition and Results of Operations.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1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72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b w:val="1"/>
                <w:bCs w:val="1"/>
                <w:color w:val="0000FF"/>
                <w:w w:val="99"/>
              </w:rPr>
              <w:t>Quantitative and Qualitative Disclosures About Market Risk.</w:t>
            </w:r>
          </w:p>
        </w:tc>
        <w:tc>
          <w:tcPr>
            <w:tcW w:w="2160" w:type="dxa"/>
            <w:vAlign w:val="bottom"/>
            <w:tcBorders>
              <w:top w:val="single" w:sz="8" w:color="0000FF"/>
            </w:tcBorders>
            <w:gridSpan w:val="4"/>
          </w:tcPr>
          <w:p>
            <w:pPr>
              <w:spacing w:after="0"/>
              <w:rPr>
                <w:sz w:val="24"/>
                <w:szCs w:val="24"/>
                <w:color w:val="auto"/>
              </w:rPr>
            </w:pPr>
          </w:p>
        </w:tc>
        <w:tc>
          <w:tcPr>
            <w:tcW w:w="2020" w:type="dxa"/>
            <w:vAlign w:val="bottom"/>
            <w:gridSpan w:val="4"/>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1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Controls and Procedures.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453"/>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20" w:type="dxa"/>
            <w:vAlign w:val="bottom"/>
            <w:tcBorders>
              <w:top w:val="single" w:sz="8" w:color="0000FF"/>
            </w:tcBorders>
          </w:tcPr>
          <w:p>
            <w:pPr>
              <w:spacing w:after="0"/>
              <w:rPr>
                <w:sz w:val="24"/>
                <w:szCs w:val="24"/>
                <w:color w:val="auto"/>
              </w:rPr>
            </w:pPr>
          </w:p>
        </w:tc>
        <w:tc>
          <w:tcPr>
            <w:tcW w:w="4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60" w:type="dxa"/>
            <w:vAlign w:val="bottom"/>
            <w:gridSpan w:val="10"/>
          </w:tcPr>
          <w:p>
            <w:pPr>
              <w:jc w:val="center"/>
              <w:ind w:right="370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420" w:type="dxa"/>
            <w:vAlign w:val="bottom"/>
          </w:tcPr>
          <w:p>
            <w:pPr>
              <w:spacing w:after="0"/>
              <w:rPr>
                <w:sz w:val="24"/>
                <w:szCs w:val="24"/>
                <w:color w:val="auto"/>
              </w:rPr>
            </w:pPr>
          </w:p>
        </w:tc>
      </w:tr>
      <w:tr>
        <w:trPr>
          <w:trHeight w:val="392"/>
        </w:trPr>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00" w:type="dxa"/>
            <w:vAlign w:val="bottom"/>
            <w:gridSpan w:val="11"/>
          </w:tcPr>
          <w:p>
            <w:pPr>
              <w:jc w:val="center"/>
              <w:ind w:right="3060"/>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1420" w:type="dxa"/>
            <w:vAlign w:val="bottom"/>
          </w:tcPr>
          <w:p>
            <w:pPr>
              <w:spacing w:after="0"/>
              <w:rPr>
                <w:sz w:val="24"/>
                <w:szCs w:val="24"/>
                <w:color w:val="auto"/>
              </w:rPr>
            </w:pPr>
          </w:p>
        </w:tc>
      </w:tr>
      <w:tr>
        <w:trPr>
          <w:trHeight w:val="412"/>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4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b w:val="1"/>
                <w:bCs w:val="1"/>
                <w:color w:val="0000FF"/>
                <w:w w:val="99"/>
              </w:rPr>
              <w:t>Legal Proceedings.</w:t>
            </w:r>
          </w:p>
        </w:tc>
        <w:tc>
          <w:tcPr>
            <w:tcW w:w="2340" w:type="dxa"/>
            <w:vAlign w:val="bottom"/>
            <w:gridSpan w:val="7"/>
          </w:tcPr>
          <w:p>
            <w:pPr>
              <w:spacing w:after="0"/>
              <w:rPr>
                <w:sz w:val="24"/>
                <w:szCs w:val="24"/>
                <w:color w:val="auto"/>
              </w:rPr>
            </w:pPr>
          </w:p>
        </w:tc>
        <w:tc>
          <w:tcPr>
            <w:tcW w:w="2040" w:type="dxa"/>
            <w:vAlign w:val="bottom"/>
            <w:tcBorders>
              <w:top w:val="single" w:sz="8" w:color="0000FF"/>
            </w:tcBorders>
            <w:gridSpan w:val="4"/>
          </w:tcPr>
          <w:p>
            <w:pPr>
              <w:spacing w:after="0"/>
              <w:rPr>
                <w:sz w:val="24"/>
                <w:szCs w:val="24"/>
                <w:color w:val="auto"/>
              </w:rPr>
            </w:pPr>
          </w:p>
        </w:tc>
        <w:tc>
          <w:tcPr>
            <w:tcW w:w="3060" w:type="dxa"/>
            <w:vAlign w:val="bottom"/>
            <w:gridSpan w:val="7"/>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Risk Factors.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8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120" w:type="dxa"/>
            <w:vAlign w:val="bottom"/>
            <w:gridSpan w:val="4"/>
          </w:tcPr>
          <w:p>
            <w:pPr>
              <w:spacing w:after="0" w:line="20" w:lineRule="exact"/>
              <w:rPr>
                <w:sz w:val="1"/>
                <w:szCs w:val="1"/>
                <w:color w:val="auto"/>
              </w:rPr>
            </w:pPr>
          </w:p>
        </w:tc>
        <w:tc>
          <w:tcPr>
            <w:tcW w:w="4280" w:type="dxa"/>
            <w:vAlign w:val="bottom"/>
            <w:gridSpan w:val="9"/>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31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Unregistered Sales of Equity Securities and Use of Proceeds.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250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b w:val="1"/>
                <w:bCs w:val="1"/>
                <w:color w:val="0000FF"/>
                <w:w w:val="99"/>
              </w:rPr>
              <w:t>Defaults Upon Senior Securities.</w:t>
            </w:r>
          </w:p>
        </w:tc>
        <w:tc>
          <w:tcPr>
            <w:tcW w:w="2120" w:type="dxa"/>
            <w:vAlign w:val="bottom"/>
            <w:tcBorders>
              <w:top w:val="single" w:sz="8" w:color="0000FF"/>
            </w:tcBorders>
            <w:gridSpan w:val="4"/>
          </w:tcPr>
          <w:p>
            <w:pPr>
              <w:spacing w:after="0"/>
              <w:rPr>
                <w:sz w:val="24"/>
                <w:szCs w:val="24"/>
                <w:color w:val="auto"/>
              </w:rPr>
            </w:pPr>
          </w:p>
        </w:tc>
        <w:tc>
          <w:tcPr>
            <w:tcW w:w="4280" w:type="dxa"/>
            <w:vAlign w:val="bottom"/>
            <w:gridSpan w:val="9"/>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Mine Safety Disclosures.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50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b w:val="1"/>
                <w:bCs w:val="1"/>
                <w:color w:val="0000FF"/>
                <w:w w:val="99"/>
              </w:rPr>
              <w:t>Other Information.</w:t>
            </w:r>
          </w:p>
        </w:tc>
        <w:tc>
          <w:tcPr>
            <w:tcW w:w="380" w:type="dxa"/>
            <w:vAlign w:val="bottom"/>
            <w:tcBorders>
              <w:top w:val="single" w:sz="8" w:color="0000FF"/>
            </w:tcBorders>
            <w:gridSpan w:val="2"/>
          </w:tcPr>
          <w:p>
            <w:pPr>
              <w:spacing w:after="0"/>
              <w:rPr>
                <w:sz w:val="24"/>
                <w:szCs w:val="24"/>
                <w:color w:val="auto"/>
              </w:rPr>
            </w:pPr>
          </w:p>
        </w:tc>
        <w:tc>
          <w:tcPr>
            <w:tcW w:w="7020" w:type="dxa"/>
            <w:vAlign w:val="bottom"/>
            <w:gridSpan w:val="15"/>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18"/>
        </w:trPr>
        <w:tc>
          <w:tcPr>
            <w:tcW w:w="9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8900" w:type="dxa"/>
            <w:vAlign w:val="bottom"/>
            <w:gridSpan w:val="21"/>
          </w:tcPr>
          <w:p>
            <w:pPr>
              <w:spacing w:after="0"/>
              <w:rPr>
                <w:sz w:val="20"/>
                <w:szCs w:val="20"/>
                <w:color w:val="auto"/>
              </w:rPr>
            </w:pPr>
            <w:r>
              <w:rPr>
                <w:rFonts w:ascii="Times New Roman" w:cs="Times New Roman" w:eastAsia="Times New Roman" w:hAnsi="Times New Roman"/>
                <w:sz w:val="18"/>
                <w:szCs w:val="18"/>
                <w:b w:val="1"/>
                <w:bCs w:val="1"/>
                <w:color w:val="0000FF"/>
              </w:rPr>
              <w:t>Exhibits.</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18"/>
        </w:trPr>
        <w:tc>
          <w:tcPr>
            <w:tcW w:w="8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Signatures.</w:t>
            </w:r>
          </w:p>
        </w:tc>
        <w:tc>
          <w:tcPr>
            <w:tcW w:w="20" w:type="dxa"/>
            <w:vAlign w:val="bottom"/>
            <w:tcBorders>
              <w:bottom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INFORMATION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6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09"/>
        </w:trPr>
        <w:tc>
          <w:tcPr>
            <w:tcW w:w="328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FFCC"/>
          </w:tcPr>
          <w:p>
            <w:pPr>
              <w:spacing w:after="0"/>
              <w:rPr>
                <w:sz w:val="18"/>
                <w:szCs w:val="18"/>
                <w:color w:val="auto"/>
              </w:rPr>
            </w:pPr>
          </w:p>
        </w:tc>
        <w:tc>
          <w:tcPr>
            <w:tcW w:w="4660" w:type="dxa"/>
            <w:vAlign w:val="bottom"/>
            <w:gridSpan w:val="2"/>
            <w:shd w:val="clear" w:color="auto" w:fill="CCFFCC"/>
          </w:tcPr>
          <w:p>
            <w:pPr>
              <w:jc w:val="right"/>
              <w:ind w:right="38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14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6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226,133</w:t>
            </w:r>
          </w:p>
        </w:tc>
        <w:tc>
          <w:tcPr>
            <w:tcW w:w="42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328,747</w:t>
            </w:r>
          </w:p>
        </w:tc>
        <w:tc>
          <w:tcPr>
            <w:tcW w:w="100" w:type="dxa"/>
            <w:vAlign w:val="bottom"/>
            <w:shd w:val="clear" w:color="auto" w:fill="CCFFCC"/>
          </w:tcPr>
          <w:p>
            <w:pPr>
              <w:spacing w:after="0"/>
              <w:rPr>
                <w:sz w:val="18"/>
                <w:szCs w:val="18"/>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227,110</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214,679</w:t>
            </w:r>
          </w:p>
        </w:tc>
        <w:tc>
          <w:tcPr>
            <w:tcW w:w="100" w:type="dxa"/>
            <w:vAlign w:val="bottom"/>
          </w:tcPr>
          <w:p>
            <w:pPr>
              <w:spacing w:after="0"/>
              <w:rPr>
                <w:sz w:val="18"/>
                <w:szCs w:val="18"/>
                <w:color w:val="auto"/>
              </w:rPr>
            </w:pPr>
          </w:p>
        </w:tc>
      </w:tr>
      <w:tr>
        <w:trPr>
          <w:trHeight w:val="216"/>
        </w:trPr>
        <w:tc>
          <w:tcPr>
            <w:tcW w:w="328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60" w:type="dxa"/>
            <w:vAlign w:val="bottom"/>
            <w:tcBorders>
              <w:bottom w:val="single" w:sz="8" w:color="CCFFCC"/>
            </w:tcBorders>
            <w:shd w:val="clear" w:color="auto" w:fill="CCFFCC"/>
          </w:tcPr>
          <w:p>
            <w:pPr>
              <w:spacing w:after="0"/>
              <w:rPr>
                <w:sz w:val="18"/>
                <w:szCs w:val="18"/>
                <w:color w:val="auto"/>
              </w:rPr>
            </w:pPr>
          </w:p>
        </w:tc>
        <w:tc>
          <w:tcPr>
            <w:tcW w:w="200" w:type="dxa"/>
            <w:vAlign w:val="bottom"/>
            <w:tcBorders>
              <w:bottom w:val="single" w:sz="8" w:color="auto"/>
            </w:tcBorders>
            <w:shd w:val="clear" w:color="auto" w:fill="CCFFCC"/>
          </w:tcPr>
          <w:p>
            <w:pPr>
              <w:spacing w:after="0"/>
              <w:rPr>
                <w:sz w:val="18"/>
                <w:szCs w:val="18"/>
                <w:color w:val="auto"/>
              </w:rPr>
            </w:pPr>
          </w:p>
        </w:tc>
        <w:tc>
          <w:tcPr>
            <w:tcW w:w="13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62,573</w:t>
            </w:r>
          </w:p>
        </w:tc>
        <w:tc>
          <w:tcPr>
            <w:tcW w:w="28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4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32"/>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515,816</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583,338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-159385</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Goodwill, net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assets</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25,269</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23,120</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47,431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50,443</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62,241</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43,763</w:t>
            </w:r>
          </w:p>
        </w:tc>
        <w:tc>
          <w:tcPr>
            <w:tcW w:w="2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75,900</w:t>
            </w:r>
          </w:p>
        </w:tc>
      </w:tr>
      <w:tr>
        <w:trPr>
          <w:trHeight w:val="238"/>
        </w:trPr>
        <w:tc>
          <w:tcPr>
            <w:tcW w:w="2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46,018</w:t>
            </w:r>
          </w:p>
        </w:tc>
        <w:tc>
          <w:tcPr>
            <w:tcW w:w="28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44,343</w:t>
            </w:r>
          </w:p>
        </w:tc>
      </w:tr>
      <w:tr>
        <w:trPr>
          <w:trHeight w:val="209"/>
        </w:trPr>
        <w:tc>
          <w:tcPr>
            <w:tcW w:w="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740,538</w:t>
            </w:r>
          </w:p>
        </w:tc>
        <w:tc>
          <w:tcPr>
            <w:tcW w:w="280" w:type="dxa"/>
            <w:vAlign w:val="bottom"/>
          </w:tcPr>
          <w:p>
            <w:pPr>
              <w:spacing w:after="0"/>
              <w:rPr>
                <w:sz w:val="18"/>
                <w:szCs w:val="18"/>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839,388</w:t>
            </w:r>
          </w:p>
        </w:tc>
      </w:tr>
      <w:tr>
        <w:trPr>
          <w:trHeight w:val="20"/>
        </w:trPr>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-4909185</wp:posOffset>
            </wp:positionH>
            <wp:positionV relativeFrom="paragraph">
              <wp:posOffset>-856615</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-582295</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-4909185</wp:posOffset>
            </wp:positionH>
            <wp:positionV relativeFrom="paragraph">
              <wp:posOffset>-307975</wp:posOffset>
            </wp:positionV>
            <wp:extent cx="713232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7020" w:space="720"/>
            <w:col w:w="3500"/>
          </w:cols>
          <w:pgMar w:left="320" w:top="98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shd w:val="clear" w:color="auto" w:fill="CCFFCC"/>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720" w:type="dxa"/>
            <w:vAlign w:val="bottom"/>
            <w:gridSpan w:val="2"/>
            <w:shd w:val="clear" w:color="auto" w:fill="CCFFC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22,415</w:t>
            </w:r>
          </w:p>
        </w:tc>
        <w:tc>
          <w:tcPr>
            <w:tcW w:w="160" w:type="dxa"/>
            <w:vAlign w:val="bottom"/>
            <w:shd w:val="clear" w:color="auto" w:fill="CCFFCC"/>
          </w:tcPr>
          <w:p>
            <w:pPr>
              <w:spacing w:after="0"/>
              <w:rPr>
                <w:sz w:val="18"/>
                <w:szCs w:val="18"/>
                <w:color w:val="auto"/>
              </w:rPr>
            </w:pPr>
          </w:p>
        </w:tc>
        <w:tc>
          <w:tcPr>
            <w:tcW w:w="640" w:type="dxa"/>
            <w:vAlign w:val="bottom"/>
            <w:gridSpan w:val="2"/>
            <w:shd w:val="clear" w:color="auto" w:fill="CCFF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22,182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58,415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30,571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355,909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20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90</w:t>
            </w:r>
          </w:p>
        </w:tc>
        <w:tc>
          <w:tcPr>
            <w:tcW w:w="1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52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467,400</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55,685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56,180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12,278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5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no par value; 20,000,000 shares authorized, no shares issued or outstanding in 2026</w:t>
            </w: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2025</w:t>
            </w: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540" w:type="dxa"/>
            <w:vAlign w:val="bottom"/>
            <w:shd w:val="clear" w:color="auto" w:fill="CCFFC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200,000,000 shares authorized; 59,164,492 and 59,845,291 shares</w:t>
            </w:r>
          </w:p>
        </w:tc>
        <w:tc>
          <w:tcPr>
            <w:tcW w:w="20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0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591</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520" w:type="dxa"/>
            <w:vAlign w:val="bottom"/>
            <w:shd w:val="clear" w:color="auto" w:fill="CCFFCC"/>
          </w:tcPr>
          <w:p>
            <w:pPr>
              <w:spacing w:after="0"/>
              <w:rPr>
                <w:sz w:val="17"/>
                <w:szCs w:val="17"/>
                <w:color w:val="auto"/>
              </w:rPr>
            </w:pPr>
          </w:p>
        </w:tc>
        <w:tc>
          <w:tcPr>
            <w:tcW w:w="10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5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issued and outstanding at March 31, 2026 and December 31, 2025, respectively</w:t>
            </w:r>
          </w:p>
        </w:tc>
        <w:tc>
          <w:tcPr>
            <w:tcW w:w="20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1040" w:type="dxa"/>
            <w:vAlign w:val="bottom"/>
            <w:vMerge w:val="continue"/>
            <w:shd w:val="clear" w:color="auto" w:fill="CCFFCC"/>
          </w:tcPr>
          <w:p>
            <w:pPr>
              <w:spacing w:after="0"/>
              <w:rPr>
                <w:sz w:val="20"/>
                <w:szCs w:val="20"/>
                <w:color w:val="auto"/>
              </w:rPr>
            </w:pPr>
          </w:p>
        </w:tc>
        <w:tc>
          <w:tcPr>
            <w:tcW w:w="16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520" w:type="dxa"/>
            <w:vAlign w:val="bottom"/>
            <w:shd w:val="clear" w:color="auto" w:fill="CCFFCC"/>
          </w:tcPr>
          <w:p>
            <w:pPr>
              <w:spacing w:after="0"/>
              <w:rPr>
                <w:sz w:val="20"/>
                <w:szCs w:val="20"/>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240,577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(35,993)</w:t>
            </w:r>
          </w:p>
        </w:tc>
        <w:tc>
          <w:tcPr>
            <w:tcW w:w="12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c>
          <w:tcPr>
            <w:tcW w:w="11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(30,930)</w:t>
            </w:r>
          </w:p>
        </w:tc>
        <w:tc>
          <w:tcPr>
            <w:tcW w:w="0" w:type="dxa"/>
            <w:vAlign w:val="bottom"/>
          </w:tcPr>
          <w:p>
            <w:pPr>
              <w:spacing w:after="0"/>
              <w:rPr>
                <w:sz w:val="1"/>
                <w:szCs w:val="1"/>
                <w:color w:val="auto"/>
              </w:rPr>
            </w:pPr>
          </w:p>
        </w:tc>
      </w:tr>
      <w:tr>
        <w:trPr>
          <w:trHeight w:val="210"/>
        </w:trPr>
        <w:tc>
          <w:tcPr>
            <w:tcW w:w="7540" w:type="dxa"/>
            <w:vAlign w:val="bottom"/>
            <w:tcBorders>
              <w:top w:val="single" w:sz="8" w:color="CCFFCC"/>
            </w:tcBorders>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top w:val="single" w:sz="8" w:color="CCFFC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205,175</w:t>
            </w:r>
          </w:p>
        </w:tc>
        <w:tc>
          <w:tcPr>
            <w:tcW w:w="160" w:type="dxa"/>
            <w:vAlign w:val="bottom"/>
            <w:tcBorders>
              <w:top w:val="single" w:sz="8" w:color="CCFFCC"/>
            </w:tcBorders>
          </w:tcPr>
          <w:p>
            <w:pPr>
              <w:spacing w:after="0"/>
              <w:rPr>
                <w:sz w:val="18"/>
                <w:szCs w:val="18"/>
                <w:color w:val="auto"/>
              </w:rPr>
            </w:pPr>
          </w:p>
        </w:tc>
        <w:tc>
          <w:tcPr>
            <w:tcW w:w="120" w:type="dxa"/>
            <w:vAlign w:val="bottom"/>
            <w:tcBorders>
              <w:top w:val="single" w:sz="8" w:color="CCFFC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314,765</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54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00" w:type="dxa"/>
            <w:vAlign w:val="bottom"/>
            <w:shd w:val="clear" w:color="auto" w:fill="CCFFCC"/>
          </w:tcPr>
          <w:p>
            <w:pPr>
              <w:spacing w:after="0"/>
              <w:rPr>
                <w:sz w:val="19"/>
                <w:szCs w:val="19"/>
                <w:color w:val="auto"/>
              </w:rPr>
            </w:pPr>
          </w:p>
        </w:tc>
        <w:tc>
          <w:tcPr>
            <w:tcW w:w="520" w:type="dxa"/>
            <w:vAlign w:val="bottom"/>
            <w:shd w:val="clear" w:color="auto" w:fill="CCFFCC"/>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740,538</w:t>
            </w:r>
          </w:p>
        </w:tc>
        <w:tc>
          <w:tcPr>
            <w:tcW w:w="160" w:type="dxa"/>
            <w:vAlign w:val="bottom"/>
            <w:shd w:val="clear" w:color="auto" w:fill="CCFFCC"/>
          </w:tcPr>
          <w:p>
            <w:pPr>
              <w:spacing w:after="0"/>
              <w:rPr>
                <w:sz w:val="19"/>
                <w:szCs w:val="19"/>
                <w:color w:val="auto"/>
              </w:rPr>
            </w:pPr>
          </w:p>
        </w:tc>
        <w:tc>
          <w:tcPr>
            <w:tcW w:w="640" w:type="dxa"/>
            <w:vAlign w:val="bottom"/>
            <w:gridSpan w:val="2"/>
            <w:shd w:val="clear" w:color="auto" w:fill="CCFFC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839,388</w:t>
            </w:r>
          </w:p>
        </w:tc>
        <w:tc>
          <w:tcPr>
            <w:tcW w:w="100" w:type="dxa"/>
            <w:vAlign w:val="bottom"/>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-1971040</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-1971040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-316865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-25400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3" w:name="page4"/>
    <w:bookmarkEnd w:id="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 xml:space="preserve">Financial Statements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3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3800" w:type="dxa"/>
            <w:vAlign w:val="bottom"/>
            <w:tcBorders>
              <w:bottom w:val="single" w:sz="8" w:color="auto"/>
            </w:tcBorders>
            <w:gridSpan w:val="4"/>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142"/>
        </w:trPr>
        <w:tc>
          <w:tcPr>
            <w:tcW w:w="5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2"/>
                <w:szCs w:val="12"/>
                <w:color w:val="auto"/>
              </w:rPr>
            </w:pPr>
          </w:p>
        </w:tc>
        <w:tc>
          <w:tcPr>
            <w:tcW w:w="1800" w:type="dxa"/>
            <w:vAlign w:val="bottom"/>
            <w:gridSpan w:val="2"/>
          </w:tcPr>
          <w:p>
            <w:pPr>
              <w:jc w:val="right"/>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53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3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6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13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4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Cloud subscriptions</w:t>
            </w:r>
          </w:p>
        </w:tc>
        <w:tc>
          <w:tcPr>
            <w:tcW w:w="2740" w:type="dxa"/>
            <w:vAlign w:val="bottom"/>
            <w:gridSpan w:val="2"/>
          </w:tcPr>
          <w:p>
            <w:pPr>
              <w:jc w:val="right"/>
              <w:ind w:right="1228"/>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117,123</w:t>
            </w:r>
          </w:p>
        </w:tc>
        <w:tc>
          <w:tcPr>
            <w:tcW w:w="1800" w:type="dxa"/>
            <w:vAlign w:val="bottom"/>
            <w:gridSpan w:val="2"/>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94,306</w:t>
            </w:r>
          </w:p>
        </w:tc>
        <w:tc>
          <w:tcPr>
            <w:tcW w:w="100" w:type="dxa"/>
            <w:vAlign w:val="bottom"/>
          </w:tcPr>
          <w:p>
            <w:pPr>
              <w:spacing w:after="0"/>
              <w:rPr>
                <w:sz w:val="18"/>
                <w:szCs w:val="18"/>
                <w:color w:val="auto"/>
              </w:rPr>
            </w:pPr>
          </w:p>
        </w:tc>
      </w:tr>
      <w:tr>
        <w:trPr>
          <w:trHeight w:val="216"/>
        </w:trPr>
        <w:tc>
          <w:tcPr>
            <w:tcW w:w="53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Software license</w:t>
            </w:r>
          </w:p>
        </w:tc>
        <w:tc>
          <w:tcPr>
            <w:tcW w:w="13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c>
          <w:tcPr>
            <w:tcW w:w="4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100" w:type="dxa"/>
            <w:vAlign w:val="bottom"/>
            <w:shd w:val="clear" w:color="auto" w:fill="CCFFCC"/>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Maintenance</w:t>
            </w: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30,592</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32,144</w:t>
            </w:r>
          </w:p>
        </w:tc>
        <w:tc>
          <w:tcPr>
            <w:tcW w:w="100" w:type="dxa"/>
            <w:vAlign w:val="bottom"/>
          </w:tcPr>
          <w:p>
            <w:pPr>
              <w:spacing w:after="0"/>
              <w:rPr>
                <w:sz w:val="18"/>
                <w:szCs w:val="18"/>
                <w:color w:val="auto"/>
              </w:rPr>
            </w:pPr>
          </w:p>
        </w:tc>
      </w:tr>
      <w:tr>
        <w:trPr>
          <w:trHeight w:val="216"/>
        </w:trPr>
        <w:tc>
          <w:tcPr>
            <w:tcW w:w="53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Services</w:t>
            </w:r>
          </w:p>
        </w:tc>
        <w:tc>
          <w:tcPr>
            <w:tcW w:w="13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125,717</w:t>
            </w:r>
          </w:p>
        </w:tc>
        <w:tc>
          <w:tcPr>
            <w:tcW w:w="4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9"/>
              </w:rPr>
              <w:t>121,127</w:t>
            </w:r>
          </w:p>
        </w:tc>
        <w:tc>
          <w:tcPr>
            <w:tcW w:w="100" w:type="dxa"/>
            <w:vAlign w:val="bottom"/>
            <w:shd w:val="clear" w:color="auto" w:fill="CCFFCC"/>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Hardware</w:t>
            </w:r>
          </w:p>
        </w:tc>
        <w:tc>
          <w:tcPr>
            <w:tcW w:w="13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6,549</w:t>
            </w:r>
          </w:p>
        </w:tc>
        <w:tc>
          <w:tcPr>
            <w:tcW w:w="4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100" w:type="dxa"/>
            <w:vAlign w:val="bottom"/>
          </w:tcPr>
          <w:p>
            <w:pPr>
              <w:spacing w:after="0"/>
              <w:rPr>
                <w:sz w:val="18"/>
                <w:szCs w:val="18"/>
                <w:color w:val="auto"/>
              </w:rPr>
            </w:pPr>
          </w:p>
        </w:tc>
      </w:tr>
      <w:tr>
        <w:trPr>
          <w:trHeight w:val="210"/>
        </w:trPr>
        <w:tc>
          <w:tcPr>
            <w:tcW w:w="53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Total revenue</w:t>
            </w:r>
          </w:p>
        </w:tc>
        <w:tc>
          <w:tcPr>
            <w:tcW w:w="13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282,215</w:t>
            </w:r>
          </w:p>
        </w:tc>
        <w:tc>
          <w:tcPr>
            <w:tcW w:w="4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9"/>
              </w:rPr>
              <w:t>262,787</w:t>
            </w:r>
          </w:p>
        </w:tc>
        <w:tc>
          <w:tcPr>
            <w:tcW w:w="100" w:type="dxa"/>
            <w:vAlign w:val="bottom"/>
            <w:shd w:val="clear" w:color="auto" w:fill="CCFFC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13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126,077</w:t>
            </w:r>
          </w:p>
        </w:tc>
        <w:tc>
          <w:tcPr>
            <w:tcW w:w="4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9"/>
              </w:rPr>
              <w:t>114,358</w:t>
            </w:r>
          </w:p>
        </w:tc>
        <w:tc>
          <w:tcPr>
            <w:tcW w:w="100" w:type="dxa"/>
            <w:vAlign w:val="bottom"/>
            <w:shd w:val="clear" w:color="auto" w:fill="CCFFCC"/>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Cost of software license</w:t>
            </w: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8"/>
                <w:szCs w:val="18"/>
                <w:color w:val="auto"/>
              </w:rPr>
            </w:pPr>
          </w:p>
        </w:tc>
      </w:tr>
      <w:tr>
        <w:trPr>
          <w:trHeight w:val="216"/>
        </w:trPr>
        <w:tc>
          <w:tcPr>
            <w:tcW w:w="53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3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37,346</w:t>
            </w:r>
          </w:p>
        </w:tc>
        <w:tc>
          <w:tcPr>
            <w:tcW w:w="4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35,298</w:t>
            </w:r>
          </w:p>
        </w:tc>
        <w:tc>
          <w:tcPr>
            <w:tcW w:w="100" w:type="dxa"/>
            <w:vAlign w:val="bottom"/>
            <w:shd w:val="clear" w:color="auto" w:fill="CCFFCC"/>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w:t>
            </w: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27,752</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21,061</w:t>
            </w:r>
          </w:p>
        </w:tc>
        <w:tc>
          <w:tcPr>
            <w:tcW w:w="100" w:type="dxa"/>
            <w:vAlign w:val="bottom"/>
          </w:tcPr>
          <w:p>
            <w:pPr>
              <w:spacing w:after="0"/>
              <w:rPr>
                <w:sz w:val="18"/>
                <w:szCs w:val="18"/>
                <w:color w:val="auto"/>
              </w:rPr>
            </w:pPr>
          </w:p>
        </w:tc>
      </w:tr>
      <w:tr>
        <w:trPr>
          <w:trHeight w:val="216"/>
        </w:trPr>
        <w:tc>
          <w:tcPr>
            <w:tcW w:w="53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3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23,706</w:t>
            </w:r>
          </w:p>
        </w:tc>
        <w:tc>
          <w:tcPr>
            <w:tcW w:w="4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100" w:type="dxa"/>
            <w:vAlign w:val="bottom"/>
            <w:shd w:val="clear" w:color="auto" w:fill="CCFFCC"/>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3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1,833</w:t>
            </w:r>
          </w:p>
        </w:tc>
        <w:tc>
          <w:tcPr>
            <w:tcW w:w="4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8"/>
                <w:szCs w:val="18"/>
                <w:color w:val="auto"/>
              </w:rPr>
            </w:pPr>
          </w:p>
        </w:tc>
      </w:tr>
      <w:tr>
        <w:trPr>
          <w:trHeight w:val="216"/>
        </w:trPr>
        <w:tc>
          <w:tcPr>
            <w:tcW w:w="5360" w:type="dxa"/>
            <w:vAlign w:val="bottom"/>
            <w:tcBorders>
              <w:bottom w:val="single" w:sz="8" w:color="CCFFCC"/>
            </w:tcBorders>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Restructuring expense</w:t>
            </w:r>
          </w:p>
        </w:tc>
        <w:tc>
          <w:tcPr>
            <w:tcW w:w="1360" w:type="dxa"/>
            <w:vAlign w:val="bottom"/>
            <w:tcBorders>
              <w:bottom w:val="single" w:sz="8" w:color="CCFFCC"/>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20" w:type="dxa"/>
            <w:vAlign w:val="bottom"/>
            <w:tcBorders>
              <w:bottom w:val="single" w:sz="8" w:color="CCFFCC"/>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spacing w:after="0"/>
              <w:rPr>
                <w:sz w:val="18"/>
                <w:szCs w:val="18"/>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09"/>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3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217,278</w:t>
            </w:r>
          </w:p>
        </w:tc>
        <w:tc>
          <w:tcPr>
            <w:tcW w:w="4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199,615</w:t>
            </w:r>
          </w:p>
        </w:tc>
        <w:tc>
          <w:tcPr>
            <w:tcW w:w="100" w:type="dxa"/>
            <w:vAlign w:val="bottom"/>
          </w:tcPr>
          <w:p>
            <w:pPr>
              <w:spacing w:after="0"/>
              <w:rPr>
                <w:sz w:val="18"/>
                <w:szCs w:val="18"/>
                <w:color w:val="auto"/>
              </w:rPr>
            </w:pPr>
          </w:p>
        </w:tc>
      </w:tr>
      <w:tr>
        <w:trPr>
          <w:trHeight w:val="210"/>
        </w:trPr>
        <w:tc>
          <w:tcPr>
            <w:tcW w:w="5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3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64,937</w:t>
            </w:r>
          </w:p>
        </w:tc>
        <w:tc>
          <w:tcPr>
            <w:tcW w:w="4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63,172</w:t>
            </w:r>
          </w:p>
        </w:tc>
        <w:tc>
          <w:tcPr>
            <w:tcW w:w="100" w:type="dxa"/>
            <w:vAlign w:val="bottom"/>
            <w:shd w:val="clear" w:color="auto" w:fill="CCFFCC"/>
          </w:tcPr>
          <w:p>
            <w:pPr>
              <w:spacing w:after="0"/>
              <w:rPr>
                <w:sz w:val="18"/>
                <w:szCs w:val="18"/>
                <w:color w:val="auto"/>
              </w:rPr>
            </w:pPr>
          </w:p>
        </w:tc>
      </w:tr>
      <w:tr>
        <w:trPr>
          <w:trHeight w:val="216"/>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income, net</w:t>
            </w:r>
          </w:p>
        </w:tc>
        <w:tc>
          <w:tcPr>
            <w:tcW w:w="13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4,337</w:t>
            </w:r>
          </w:p>
        </w:tc>
        <w:tc>
          <w:tcPr>
            <w:tcW w:w="4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tcPr>
          <w:p>
            <w:pPr>
              <w:spacing w:after="0"/>
              <w:rPr>
                <w:sz w:val="18"/>
                <w:szCs w:val="18"/>
                <w:color w:val="auto"/>
              </w:rPr>
            </w:pPr>
          </w:p>
        </w:tc>
      </w:tr>
      <w:tr>
        <w:trPr>
          <w:trHeight w:val="210"/>
        </w:trPr>
        <w:tc>
          <w:tcPr>
            <w:tcW w:w="5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69,274</w:t>
            </w:r>
          </w:p>
        </w:tc>
        <w:tc>
          <w:tcPr>
            <w:tcW w:w="4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64,509</w:t>
            </w:r>
          </w:p>
        </w:tc>
        <w:tc>
          <w:tcPr>
            <w:tcW w:w="100" w:type="dxa"/>
            <w:vAlign w:val="bottom"/>
            <w:shd w:val="clear" w:color="auto" w:fill="CCFFC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6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19,979</w:t>
            </w:r>
          </w:p>
        </w:tc>
        <w:tc>
          <w:tcPr>
            <w:tcW w:w="42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00" w:type="dxa"/>
            <w:vAlign w:val="bottom"/>
          </w:tcPr>
          <w:p>
            <w:pPr>
              <w:spacing w:after="0"/>
              <w:rPr>
                <w:sz w:val="18"/>
                <w:szCs w:val="18"/>
                <w:color w:val="auto"/>
              </w:rPr>
            </w:pPr>
          </w:p>
        </w:tc>
      </w:tr>
      <w:tr>
        <w:trPr>
          <w:trHeight w:val="230"/>
        </w:trPr>
        <w:tc>
          <w:tcPr>
            <w:tcW w:w="5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740" w:type="dxa"/>
            <w:vAlign w:val="bottom"/>
            <w:gridSpan w:val="2"/>
            <w:shd w:val="clear" w:color="auto" w:fill="CCFFCC"/>
          </w:tcPr>
          <w:p>
            <w:pPr>
              <w:jc w:val="right"/>
              <w:ind w:right="1228"/>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49,295</w:t>
            </w:r>
          </w:p>
        </w:tc>
        <w:tc>
          <w:tcPr>
            <w:tcW w:w="1800" w:type="dxa"/>
            <w:vAlign w:val="bottom"/>
            <w:gridSpan w:val="2"/>
            <w:shd w:val="clear" w:color="auto" w:fill="CCFFC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100" w:type="dxa"/>
            <w:vAlign w:val="bottom"/>
            <w:shd w:val="clear" w:color="auto" w:fill="CCFFCC"/>
          </w:tcPr>
          <w:p>
            <w:pPr>
              <w:spacing w:after="0"/>
              <w:rPr>
                <w:sz w:val="19"/>
                <w:szCs w:val="19"/>
                <w:color w:val="auto"/>
              </w:rPr>
            </w:pPr>
          </w:p>
        </w:tc>
      </w:tr>
      <w:tr>
        <w:trPr>
          <w:trHeight w:val="20"/>
        </w:trPr>
        <w:tc>
          <w:tcPr>
            <w:tcW w:w="536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FFCC"/>
            </w:tcBorders>
            <w:shd w:val="clear" w:color="auto" w:fill="CCFFCC"/>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413"/>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740" w:type="dxa"/>
            <w:vAlign w:val="bottom"/>
            <w:gridSpan w:val="2"/>
          </w:tcPr>
          <w:p>
            <w:pPr>
              <w:jc w:val="right"/>
              <w:ind w:right="1228"/>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0.83</w:t>
            </w:r>
          </w:p>
        </w:tc>
        <w:tc>
          <w:tcPr>
            <w:tcW w:w="1800" w:type="dxa"/>
            <w:vAlign w:val="bottom"/>
            <w:gridSpan w:val="2"/>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tcPr>
          <w:p>
            <w:pPr>
              <w:spacing w:after="0"/>
              <w:rPr>
                <w:sz w:val="24"/>
                <w:szCs w:val="24"/>
                <w:color w:val="auto"/>
              </w:rPr>
            </w:pPr>
          </w:p>
        </w:tc>
      </w:tr>
      <w:tr>
        <w:trPr>
          <w:trHeight w:val="216"/>
        </w:trPr>
        <w:tc>
          <w:tcPr>
            <w:tcW w:w="53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740" w:type="dxa"/>
            <w:vAlign w:val="bottom"/>
            <w:gridSpan w:val="2"/>
            <w:shd w:val="clear" w:color="auto" w:fill="CCFFCC"/>
          </w:tcPr>
          <w:p>
            <w:pPr>
              <w:jc w:val="right"/>
              <w:ind w:right="1228"/>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800" w:type="dxa"/>
            <w:vAlign w:val="bottom"/>
            <w:gridSpan w:val="2"/>
            <w:shd w:val="clear" w:color="auto" w:fill="CCFFCC"/>
          </w:tcPr>
          <w:p>
            <w:pPr>
              <w:jc w:val="right"/>
              <w:ind w:right="1208"/>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FFCC"/>
          </w:tcPr>
          <w:p>
            <w:pPr>
              <w:spacing w:after="0"/>
              <w:rPr>
                <w:sz w:val="18"/>
                <w:szCs w:val="18"/>
                <w:color w:val="auto"/>
              </w:rPr>
            </w:pPr>
          </w:p>
        </w:tc>
      </w:tr>
      <w:tr>
        <w:trPr>
          <w:trHeight w:val="432"/>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360" w:type="dxa"/>
            <w:vAlign w:val="bottom"/>
            <w:shd w:val="clear" w:color="auto" w:fill="CCFFCC"/>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13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59,688</w:t>
            </w:r>
          </w:p>
        </w:tc>
        <w:tc>
          <w:tcPr>
            <w:tcW w:w="42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60,870</w:t>
            </w:r>
          </w:p>
        </w:tc>
        <w:tc>
          <w:tcPr>
            <w:tcW w:w="100" w:type="dxa"/>
            <w:vAlign w:val="bottom"/>
            <w:shd w:val="clear" w:color="auto" w:fill="CCFFCC"/>
          </w:tcPr>
          <w:p>
            <w:pPr>
              <w:spacing w:after="0"/>
              <w:rPr>
                <w:sz w:val="18"/>
                <w:szCs w:val="18"/>
                <w:color w:val="auto"/>
              </w:rPr>
            </w:pPr>
          </w:p>
        </w:tc>
      </w:tr>
      <w:tr>
        <w:trPr>
          <w:trHeight w:val="238"/>
        </w:trPr>
        <w:tc>
          <w:tcPr>
            <w:tcW w:w="5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1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60,038</w:t>
            </w:r>
          </w:p>
        </w:tc>
        <w:tc>
          <w:tcPr>
            <w:tcW w:w="4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-1856740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-1856740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-999490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-982345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-999490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-982345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 xml:space="preserve">Financial Statements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ind w:left="8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7620</wp:posOffset>
            </wp:positionV>
            <wp:extent cx="21856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85670" cy="8890"/>
                    </a:xfrm>
                    <a:prstGeom prst="rect">
                      <a:avLst/>
                    </a:prstGeom>
                    <a:noFill/>
                  </pic:spPr>
                </pic:pic>
              </a:graphicData>
            </a:graphic>
          </wp:anchor>
        </w:drawing>
      </w:r>
    </w:p>
    <w:p>
      <w:pPr>
        <w:ind w:left="834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4882515</wp:posOffset>
            </wp:positionH>
            <wp:positionV relativeFrom="paragraph">
              <wp:posOffset>-3175</wp:posOffset>
            </wp:positionV>
            <wp:extent cx="21856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185670" cy="8255"/>
                    </a:xfrm>
                    <a:prstGeom prst="rect">
                      <a:avLst/>
                    </a:prstGeom>
                    <a:noFill/>
                  </pic:spPr>
                </pic:pic>
              </a:graphicData>
            </a:graphic>
          </wp:anchor>
        </w:drawing>
      </w:r>
    </w:p>
    <w:p>
      <w:pPr>
        <w:jc w:val="both"/>
        <w:ind w:left="8120"/>
        <w:spacing w:after="0" w:line="232" w:lineRule="auto"/>
        <w:tabs>
          <w:tab w:leader="none" w:pos="9960" w:val="left"/>
        </w:tabs>
        <w:rPr>
          <w:sz w:val="20"/>
          <w:szCs w:val="20"/>
          <w:color w:val="auto"/>
        </w:rPr>
      </w:pPr>
      <w:r>
        <w:rPr>
          <w:rFonts w:ascii="Times New Roman" w:cs="Times New Roman" w:eastAsia="Times New Roman" w:hAnsi="Times New Roman"/>
          <w:sz w:val="14"/>
          <w:szCs w:val="14"/>
          <w:b w:val="1"/>
          <w:bCs w:val="1"/>
          <w:color w:val="auto"/>
        </w:rPr>
        <w:t>(unaudited)</w:t>
      </w:r>
      <w:r>
        <w:rPr>
          <w:sz w:val="20"/>
          <w:szCs w:val="20"/>
          <w:color w:val="auto"/>
        </w:rPr>
        <w:tab/>
      </w:r>
      <w:r>
        <w:rPr>
          <w:rFonts w:ascii="Times New Roman" w:cs="Times New Roman" w:eastAsia="Times New Roman" w:hAnsi="Times New Roman"/>
          <w:sz w:val="14"/>
          <w:szCs w:val="14"/>
          <w:b w:val="1"/>
          <w:bCs w:val="1"/>
          <w:color w:val="auto"/>
        </w:rPr>
        <w:t>(unaudited)</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0" w:type="dxa"/>
            <w:vAlign w:val="bottom"/>
            <w:gridSpan w:val="2"/>
            <w:shd w:val="clear" w:color="auto" w:fill="CCFFCC"/>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49,295</w:t>
            </w:r>
          </w:p>
        </w:tc>
        <w:tc>
          <w:tcPr>
            <w:tcW w:w="280" w:type="dxa"/>
            <w:vAlign w:val="bottom"/>
            <w:shd w:val="clear" w:color="auto" w:fill="CCFFCC"/>
          </w:tcPr>
          <w:p>
            <w:pPr>
              <w:spacing w:after="0"/>
              <w:rPr>
                <w:sz w:val="17"/>
                <w:szCs w:val="17"/>
                <w:color w:val="auto"/>
              </w:rPr>
            </w:pPr>
          </w:p>
        </w:tc>
        <w:tc>
          <w:tcPr>
            <w:tcW w:w="580" w:type="dxa"/>
            <w:vAlign w:val="bottom"/>
            <w:shd w:val="clear" w:color="auto" w:fill="CCFFC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100" w:type="dxa"/>
            <w:vAlign w:val="bottom"/>
            <w:shd w:val="clear" w:color="auto" w:fill="CCFFCC"/>
          </w:tcPr>
          <w:p>
            <w:pPr>
              <w:spacing w:after="0"/>
              <w:rPr>
                <w:sz w:val="17"/>
                <w:szCs w:val="17"/>
                <w:color w:val="auto"/>
              </w:rPr>
            </w:pPr>
          </w:p>
        </w:tc>
      </w:tr>
      <w:tr>
        <w:trPr>
          <w:trHeight w:val="216"/>
        </w:trPr>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 net of tax</w:t>
            </w:r>
          </w:p>
        </w:tc>
        <w:tc>
          <w:tcPr>
            <w:tcW w:w="2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(5,063)</w:t>
            </w: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18"/>
                <w:szCs w:val="18"/>
                <w:color w:val="auto"/>
              </w:rPr>
            </w:pPr>
          </w:p>
        </w:tc>
      </w:tr>
      <w:tr>
        <w:trPr>
          <w:trHeight w:val="249"/>
        </w:trPr>
        <w:tc>
          <w:tcPr>
            <w:tcW w:w="5680" w:type="dxa"/>
            <w:vAlign w:val="bottom"/>
            <w:tcBorders>
              <w:top w:val="single" w:sz="8" w:color="CCFFCC"/>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000" w:type="dxa"/>
            <w:vAlign w:val="bottom"/>
            <w:tcBorders>
              <w:top w:val="single" w:sz="8" w:color="CCFFCC"/>
              <w:bottom w:val="single" w:sz="8" w:color="CCFFCC"/>
            </w:tcBorders>
            <w:shd w:val="clear" w:color="auto" w:fill="CCFFCC"/>
          </w:tcPr>
          <w:p>
            <w:pPr>
              <w:spacing w:after="0"/>
              <w:rPr>
                <w:sz w:val="21"/>
                <w:szCs w:val="21"/>
                <w:color w:val="auto"/>
              </w:rPr>
            </w:pPr>
          </w:p>
        </w:tc>
        <w:tc>
          <w:tcPr>
            <w:tcW w:w="600" w:type="dxa"/>
            <w:vAlign w:val="bottom"/>
            <w:tcBorders>
              <w:top w:val="single" w:sz="8" w:color="auto"/>
              <w:bottom w:val="single" w:sz="8" w:color="auto"/>
            </w:tcBorders>
            <w:shd w:val="clear" w:color="auto" w:fill="CCFFCC"/>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44,232</w:t>
            </w:r>
          </w:p>
        </w:tc>
        <w:tc>
          <w:tcPr>
            <w:tcW w:w="280" w:type="dxa"/>
            <w:vAlign w:val="bottom"/>
            <w:tcBorders>
              <w:top w:val="single" w:sz="8" w:color="CCFFCC"/>
              <w:bottom w:val="single" w:sz="8" w:color="CCFFCC"/>
            </w:tcBorders>
            <w:shd w:val="clear" w:color="auto" w:fill="CCFFCC"/>
          </w:tcPr>
          <w:p>
            <w:pPr>
              <w:spacing w:after="0"/>
              <w:rPr>
                <w:sz w:val="21"/>
                <w:szCs w:val="21"/>
                <w:color w:val="auto"/>
              </w:rPr>
            </w:pPr>
          </w:p>
        </w:tc>
        <w:tc>
          <w:tcPr>
            <w:tcW w:w="580" w:type="dxa"/>
            <w:vAlign w:val="bottom"/>
            <w:tcBorders>
              <w:top w:val="single" w:sz="8" w:color="auto"/>
              <w:bottom w:val="single" w:sz="8" w:color="auto"/>
            </w:tcBorders>
            <w:shd w:val="clear" w:color="auto" w:fill="CCFFC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53,914</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 xml:space="preserve">Financial Statements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8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760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80" w:type="dxa"/>
            <w:vAlign w:val="bottom"/>
            <w:tcBorders>
              <w:top w:val="single" w:sz="8" w:color="auto"/>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00" w:type="dxa"/>
            <w:vAlign w:val="bottom"/>
            <w:tcBorders>
              <w:top w:val="single" w:sz="8" w:color="auto"/>
              <w:bottom w:val="single" w:sz="8" w:color="auto"/>
            </w:tcBorders>
          </w:tcPr>
          <w:p>
            <w:pPr>
              <w:jc w:val="right"/>
              <w:ind w:right="6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80" w:type="dxa"/>
            <w:vAlign w:val="bottom"/>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0" w:type="dxa"/>
            <w:vAlign w:val="bottom"/>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7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2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6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49,295</w:t>
            </w:r>
          </w:p>
        </w:tc>
        <w:tc>
          <w:tcPr>
            <w:tcW w:w="220" w:type="dxa"/>
            <w:vAlign w:val="bottom"/>
          </w:tcPr>
          <w:p>
            <w:pPr>
              <w:spacing w:after="0"/>
              <w:rPr>
                <w:sz w:val="18"/>
                <w:szCs w:val="18"/>
                <w:color w:val="auto"/>
              </w:rPr>
            </w:pP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100" w:type="dxa"/>
            <w:vAlign w:val="bottom"/>
          </w:tcPr>
          <w:p>
            <w:pPr>
              <w:spacing w:after="0"/>
              <w:rPr>
                <w:sz w:val="18"/>
                <w:szCs w:val="18"/>
                <w:color w:val="auto"/>
              </w:rPr>
            </w:pPr>
          </w:p>
        </w:tc>
      </w:tr>
      <w:tr>
        <w:trPr>
          <w:trHeight w:val="216"/>
        </w:trPr>
        <w:tc>
          <w:tcPr>
            <w:tcW w:w="760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2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Pr>
          <w:p>
            <w:pPr>
              <w:spacing w:after="0"/>
              <w:rPr>
                <w:sz w:val="18"/>
                <w:szCs w:val="18"/>
                <w:color w:val="auto"/>
              </w:rPr>
            </w:pPr>
          </w:p>
        </w:tc>
      </w:tr>
      <w:tr>
        <w:trPr>
          <w:trHeight w:val="216"/>
        </w:trPr>
        <w:tc>
          <w:tcPr>
            <w:tcW w:w="76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26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26,524</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28,826</w:t>
            </w:r>
          </w:p>
        </w:tc>
        <w:tc>
          <w:tcPr>
            <w:tcW w:w="100" w:type="dxa"/>
            <w:vAlign w:val="bottom"/>
            <w:shd w:val="clear" w:color="auto" w:fill="CCFFC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disposal of equipment</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(156)</w:t>
            </w:r>
          </w:p>
        </w:tc>
        <w:tc>
          <w:tcPr>
            <w:tcW w:w="2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76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FFCC"/>
          </w:tcPr>
          <w:p>
            <w:pPr>
              <w:spacing w:after="0"/>
              <w:rPr>
                <w:sz w:val="18"/>
                <w:szCs w:val="18"/>
                <w:color w:val="auto"/>
              </w:rPr>
            </w:pPr>
          </w:p>
        </w:tc>
        <w:tc>
          <w:tcPr>
            <w:tcW w:w="13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31,854</w:t>
            </w: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2,133</w:t>
            </w:r>
          </w:p>
        </w:tc>
        <w:tc>
          <w:tcPr>
            <w:tcW w:w="100" w:type="dxa"/>
            <w:vAlign w:val="bottom"/>
            <w:shd w:val="clear" w:color="auto" w:fill="CCFFCC"/>
          </w:tcPr>
          <w:p>
            <w:pPr>
              <w:spacing w:after="0"/>
              <w:rPr>
                <w:sz w:val="18"/>
                <w:szCs w:val="18"/>
                <w:color w:val="auto"/>
              </w:rPr>
            </w:pPr>
          </w:p>
        </w:tc>
      </w:tr>
      <w:tr>
        <w:trPr>
          <w:trHeight w:val="216"/>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foreign currency (gain) loss</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(2,212)</w:t>
            </w:r>
          </w:p>
        </w:tc>
        <w:tc>
          <w:tcPr>
            <w:tcW w:w="2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100" w:type="dxa"/>
            <w:vAlign w:val="bottom"/>
          </w:tcPr>
          <w:p>
            <w:pPr>
              <w:spacing w:after="0"/>
              <w:rPr>
                <w:sz w:val="18"/>
                <w:szCs w:val="18"/>
                <w:color w:val="auto"/>
              </w:rPr>
            </w:pPr>
          </w:p>
        </w:tc>
      </w:tr>
      <w:tr>
        <w:trPr>
          <w:trHeight w:val="216"/>
        </w:trPr>
        <w:tc>
          <w:tcPr>
            <w:tcW w:w="760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shd w:val="clear" w:color="auto" w:fill="CCFFCC"/>
          </w:tcPr>
          <w:p>
            <w:pPr>
              <w:spacing w:after="0"/>
              <w:rPr>
                <w:sz w:val="18"/>
                <w:szCs w:val="18"/>
                <w:color w:val="auto"/>
              </w:rPr>
            </w:pPr>
          </w:p>
        </w:tc>
        <w:tc>
          <w:tcPr>
            <w:tcW w:w="13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(13,217)</w:t>
            </w:r>
          </w:p>
        </w:tc>
        <w:tc>
          <w:tcPr>
            <w:tcW w:w="2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(3,321)</w:t>
            </w:r>
          </w:p>
        </w:tc>
      </w:tr>
      <w:tr>
        <w:trPr>
          <w:trHeight w:val="216"/>
        </w:trPr>
        <w:tc>
          <w:tcPr>
            <w:tcW w:w="760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(9,651)</w:t>
            </w: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(11,959)</w:t>
            </w:r>
          </w:p>
        </w:tc>
      </w:tr>
      <w:tr>
        <w:trPr>
          <w:trHeight w:val="216"/>
        </w:trPr>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260" w:type="dxa"/>
            <w:vAlign w:val="bottom"/>
          </w:tcPr>
          <w:p>
            <w:pPr>
              <w:spacing w:after="0"/>
              <w:rPr>
                <w:sz w:val="18"/>
                <w:szCs w:val="18"/>
                <w:color w:val="auto"/>
              </w:rPr>
            </w:pPr>
          </w:p>
        </w:tc>
        <w:tc>
          <w:tcPr>
            <w:tcW w:w="16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(4,044)</w:t>
            </w:r>
          </w:p>
        </w:tc>
        <w:tc>
          <w:tcPr>
            <w:tcW w:w="28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(18,807)</w:t>
            </w:r>
          </w:p>
        </w:tc>
      </w:tr>
      <w:tr>
        <w:trPr>
          <w:trHeight w:val="216"/>
        </w:trPr>
        <w:tc>
          <w:tcPr>
            <w:tcW w:w="760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(15,790)</w:t>
            </w: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6,482</w:t>
            </w:r>
          </w:p>
        </w:tc>
        <w:tc>
          <w:tcPr>
            <w:tcW w:w="100" w:type="dxa"/>
            <w:vAlign w:val="bottom"/>
            <w:shd w:val="clear" w:color="auto" w:fill="CCFFCC"/>
          </w:tcPr>
          <w:p>
            <w:pPr>
              <w:spacing w:after="0"/>
              <w:rPr>
                <w:sz w:val="18"/>
                <w:szCs w:val="18"/>
                <w:color w:val="auto"/>
              </w:rPr>
            </w:pPr>
          </w:p>
        </w:tc>
      </w:tr>
      <w:tr>
        <w:trPr>
          <w:trHeight w:val="216"/>
        </w:trPr>
        <w:tc>
          <w:tcPr>
            <w:tcW w:w="76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2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19,609</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17,100</w:t>
            </w:r>
          </w:p>
        </w:tc>
        <w:tc>
          <w:tcPr>
            <w:tcW w:w="100" w:type="dxa"/>
            <w:vAlign w:val="bottom"/>
          </w:tcPr>
          <w:p>
            <w:pPr>
              <w:spacing w:after="0"/>
              <w:rPr>
                <w:sz w:val="18"/>
                <w:szCs w:val="18"/>
                <w:color w:val="auto"/>
              </w:rPr>
            </w:pPr>
          </w:p>
        </w:tc>
      </w:tr>
      <w:tr>
        <w:trPr>
          <w:trHeight w:val="209"/>
        </w:trPr>
        <w:tc>
          <w:tcPr>
            <w:tcW w:w="760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FFCC"/>
          </w:tcPr>
          <w:p>
            <w:pPr>
              <w:spacing w:after="0"/>
              <w:rPr>
                <w:sz w:val="18"/>
                <w:szCs w:val="18"/>
                <w:color w:val="auto"/>
              </w:rPr>
            </w:pPr>
          </w:p>
        </w:tc>
        <w:tc>
          <w:tcPr>
            <w:tcW w:w="13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84,045</w:t>
            </w:r>
          </w:p>
        </w:tc>
        <w:tc>
          <w:tcPr>
            <w:tcW w:w="220" w:type="dxa"/>
            <w:vAlign w:val="bottom"/>
            <w:tcBorders>
              <w:bottom w:val="single" w:sz="8" w:color="CCFFCC"/>
            </w:tcBorders>
            <w:shd w:val="clear" w:color="auto" w:fill="CCFFCC"/>
          </w:tcPr>
          <w:p>
            <w:pPr>
              <w:spacing w:after="0"/>
              <w:rPr>
                <w:sz w:val="18"/>
                <w:szCs w:val="18"/>
                <w:color w:val="auto"/>
              </w:rPr>
            </w:pPr>
          </w:p>
        </w:tc>
        <w:tc>
          <w:tcPr>
            <w:tcW w:w="280" w:type="dxa"/>
            <w:vAlign w:val="bottom"/>
            <w:tcBorders>
              <w:bottom w:val="single" w:sz="8" w:color="auto"/>
            </w:tcBorders>
            <w:shd w:val="clear" w:color="auto" w:fill="CCFFCC"/>
          </w:tcPr>
          <w:p>
            <w:pPr>
              <w:spacing w:after="0"/>
              <w:rPr>
                <w:sz w:val="18"/>
                <w:szCs w:val="18"/>
                <w:color w:val="auto"/>
              </w:rPr>
            </w:pPr>
          </w:p>
        </w:tc>
        <w:tc>
          <w:tcPr>
            <w:tcW w:w="14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75,260</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42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0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(4,103)</w:t>
            </w: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(891)</w:t>
            </w:r>
          </w:p>
        </w:tc>
      </w:tr>
      <w:tr>
        <w:trPr>
          <w:trHeight w:val="209"/>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(4,103)</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100" w:type="dxa"/>
            <w:vAlign w:val="bottom"/>
          </w:tcPr>
          <w:p>
            <w:pPr>
              <w:spacing w:after="0"/>
              <w:rPr>
                <w:sz w:val="18"/>
                <w:szCs w:val="18"/>
                <w:color w:val="auto"/>
              </w:rPr>
            </w:pPr>
          </w:p>
        </w:tc>
      </w:tr>
      <w:tr>
        <w:trPr>
          <w:trHeight w:val="426"/>
        </w:trPr>
        <w:tc>
          <w:tcPr>
            <w:tcW w:w="76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760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(179,387)</w:t>
            </w:r>
          </w:p>
        </w:tc>
        <w:tc>
          <w:tcPr>
            <w:tcW w:w="280" w:type="dxa"/>
            <w:vAlign w:val="bottom"/>
            <w:shd w:val="clear" w:color="auto" w:fill="CCFFCC"/>
          </w:tcPr>
          <w:p>
            <w:pPr>
              <w:spacing w:after="0"/>
              <w:rPr>
                <w:sz w:val="18"/>
                <w:szCs w:val="18"/>
                <w:color w:val="auto"/>
              </w:rPr>
            </w:pPr>
          </w:p>
        </w:tc>
        <w:tc>
          <w:tcPr>
            <w:tcW w:w="15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(136,447)</w:t>
            </w:r>
          </w:p>
        </w:tc>
      </w:tr>
      <w:tr>
        <w:trPr>
          <w:trHeight w:val="210"/>
        </w:trPr>
        <w:tc>
          <w:tcPr>
            <w:tcW w:w="76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(179,387)</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(136,447)</w:t>
            </w:r>
          </w:p>
        </w:tc>
        <w:tc>
          <w:tcPr>
            <w:tcW w:w="100" w:type="dxa"/>
            <w:vAlign w:val="bottom"/>
          </w:tcPr>
          <w:p>
            <w:pPr>
              <w:spacing w:after="0"/>
              <w:rPr>
                <w:sz w:val="18"/>
                <w:szCs w:val="18"/>
                <w:color w:val="auto"/>
              </w:rPr>
            </w:pPr>
          </w:p>
        </w:tc>
      </w:tr>
      <w:tr>
        <w:trPr>
          <w:trHeight w:val="209"/>
        </w:trPr>
        <w:tc>
          <w:tcPr>
            <w:tcW w:w="7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260" w:type="dxa"/>
            <w:vAlign w:val="bottom"/>
            <w:shd w:val="clear" w:color="auto" w:fill="CCFFCC"/>
          </w:tcPr>
          <w:p>
            <w:pPr>
              <w:spacing w:after="0"/>
              <w:rPr>
                <w:sz w:val="18"/>
                <w:szCs w:val="18"/>
                <w:color w:val="auto"/>
              </w:rPr>
            </w:pPr>
          </w:p>
        </w:tc>
        <w:tc>
          <w:tcPr>
            <w:tcW w:w="160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(3,169)</w:t>
            </w:r>
          </w:p>
        </w:tc>
        <w:tc>
          <w:tcPr>
            <w:tcW w:w="280" w:type="dxa"/>
            <w:vAlign w:val="bottom"/>
            <w:shd w:val="clear" w:color="auto" w:fill="CCFFCC"/>
          </w:tcPr>
          <w:p>
            <w:pPr>
              <w:spacing w:after="0"/>
              <w:rPr>
                <w:sz w:val="18"/>
                <w:szCs w:val="18"/>
                <w:color w:val="auto"/>
              </w:rPr>
            </w:pPr>
          </w:p>
        </w:tc>
        <w:tc>
          <w:tcPr>
            <w:tcW w:w="14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100" w:type="dxa"/>
            <w:vAlign w:val="bottom"/>
            <w:shd w:val="clear" w:color="auto" w:fill="CCFFCC"/>
          </w:tcPr>
          <w:p>
            <w:pPr>
              <w:spacing w:after="0"/>
              <w:rPr>
                <w:sz w:val="18"/>
                <w:szCs w:val="18"/>
                <w:color w:val="auto"/>
              </w:rPr>
            </w:pPr>
          </w:p>
        </w:tc>
      </w:tr>
      <w:tr>
        <w:trPr>
          <w:trHeight w:val="20"/>
        </w:trPr>
        <w:tc>
          <w:tcPr>
            <w:tcW w:w="760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-1422400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(102,614)</w:t>
            </w:r>
          </w:p>
        </w:tc>
        <w:tc>
          <w:tcPr>
            <w:tcW w:w="5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(60,357)</w:t>
            </w:r>
          </w:p>
        </w:tc>
      </w:tr>
      <w:tr>
        <w:trPr>
          <w:trHeight w:val="238"/>
        </w:trPr>
        <w:tc>
          <w:tcPr>
            <w:tcW w:w="5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328,747</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266,230</w:t>
            </w:r>
          </w:p>
        </w:tc>
        <w:tc>
          <w:tcPr>
            <w:tcW w:w="60" w:type="dxa"/>
            <w:vAlign w:val="bottom"/>
          </w:tcPr>
          <w:p>
            <w:pPr>
              <w:spacing w:after="0"/>
              <w:rPr>
                <w:sz w:val="20"/>
                <w:szCs w:val="20"/>
                <w:color w:val="auto"/>
              </w:rPr>
            </w:pPr>
          </w:p>
        </w:tc>
      </w:tr>
      <w:tr>
        <w:trPr>
          <w:trHeight w:val="210"/>
        </w:trPr>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226,133</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205,873</w:t>
            </w:r>
          </w:p>
        </w:tc>
        <w:tc>
          <w:tcPr>
            <w:tcW w:w="60" w:type="dxa"/>
            <w:vAlign w:val="bottom"/>
          </w:tcPr>
          <w:p>
            <w:pPr>
              <w:spacing w:after="0"/>
              <w:rPr>
                <w:sz w:val="18"/>
                <w:szCs w:val="18"/>
                <w:color w:val="auto"/>
              </w:rPr>
            </w:pP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-4820285</wp:posOffset>
            </wp:positionH>
            <wp:positionV relativeFrom="paragraph">
              <wp:posOffset>-445135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-4820285</wp:posOffset>
            </wp:positionH>
            <wp:positionV relativeFrom="paragraph">
              <wp:posOffset>-161925</wp:posOffset>
            </wp:positionV>
            <wp:extent cx="7132320" cy="1625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80" w:space="720"/>
            <w:col w:w="3640"/>
          </w:cols>
          <w:pgMar w:left="320" w:top="98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Condensed Consolidated Financial Statements.</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6" w:name="page7"/>
    <w:bookmarkEnd w:id="6"/>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 xml:space="preserve">Financial Statements </w:t>
      </w:r>
      <w:r>
        <w:rPr>
          <w:rFonts w:ascii="Times New Roman" w:cs="Times New Roman" w:eastAsia="Times New Roman" w:hAnsi="Times New Roman"/>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Accumulated</w:t>
            </w:r>
          </w:p>
        </w:tc>
        <w:tc>
          <w:tcPr>
            <w:tcW w:w="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18"/>
                <w:szCs w:val="18"/>
                <w:color w:val="auto"/>
              </w:rPr>
            </w:pPr>
          </w:p>
        </w:tc>
        <w:tc>
          <w:tcPr>
            <w:tcW w:w="2400" w:type="dxa"/>
            <w:vAlign w:val="bottom"/>
            <w:gridSpan w:val="6"/>
            <w:vMerge w:val="restart"/>
          </w:tcPr>
          <w:p>
            <w:pPr>
              <w:jc w:val="right"/>
              <w:ind w:right="720"/>
              <w:spacing w:after="0"/>
              <w:rPr>
                <w:sz w:val="20"/>
                <w:szCs w:val="20"/>
                <w:color w:val="auto"/>
              </w:rPr>
            </w:pPr>
            <w:r>
              <w:rPr>
                <w:rFonts w:ascii="Times New Roman" w:cs="Times New Roman" w:eastAsia="Times New Roman" w:hAnsi="Times New Roman"/>
                <w:sz w:val="17"/>
                <w:szCs w:val="17"/>
                <w:b w:val="1"/>
                <w:bCs w:val="1"/>
                <w:color w:val="auto"/>
              </w:rPr>
              <w:t>Common Stock</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5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15"/>
        </w:trPr>
        <w:tc>
          <w:tcPr>
            <w:tcW w:w="3600" w:type="dxa"/>
            <w:vAlign w:val="bottom"/>
          </w:tcPr>
          <w:p>
            <w:pPr>
              <w:spacing w:after="0"/>
              <w:rPr>
                <w:sz w:val="18"/>
                <w:szCs w:val="18"/>
                <w:color w:val="auto"/>
              </w:rPr>
            </w:pPr>
          </w:p>
        </w:tc>
        <w:tc>
          <w:tcPr>
            <w:tcW w:w="2400" w:type="dxa"/>
            <w:vAlign w:val="bottom"/>
            <w:gridSpan w:val="6"/>
            <w:vMerge w:val="continue"/>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80" w:type="dxa"/>
            <w:vAlign w:val="bottom"/>
          </w:tcPr>
          <w:p>
            <w:pPr>
              <w:spacing w:after="0"/>
              <w:rPr>
                <w:sz w:val="18"/>
                <w:szCs w:val="18"/>
                <w:color w:val="auto"/>
              </w:rPr>
            </w:pPr>
          </w:p>
        </w:tc>
        <w:tc>
          <w:tcPr>
            <w:tcW w:w="136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b w:val="1"/>
                <w:bCs w:val="1"/>
                <w:color w:val="auto"/>
              </w:rPr>
              <w:t>Comprehensive</w:t>
            </w:r>
          </w:p>
        </w:tc>
        <w:tc>
          <w:tcPr>
            <w:tcW w:w="80" w:type="dxa"/>
            <w:vAlign w:val="bottom"/>
          </w:tcPr>
          <w:p>
            <w:pPr>
              <w:spacing w:after="0"/>
              <w:rPr>
                <w:sz w:val="18"/>
                <w:szCs w:val="18"/>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8"/>
              </w:rPr>
              <w:t>Shareholders'</w:t>
            </w:r>
          </w:p>
        </w:tc>
        <w:tc>
          <w:tcPr>
            <w:tcW w:w="0" w:type="dxa"/>
            <w:vAlign w:val="bottom"/>
          </w:tcPr>
          <w:p>
            <w:pPr>
              <w:spacing w:after="0"/>
              <w:rPr>
                <w:sz w:val="1"/>
                <w:szCs w:val="1"/>
                <w:color w:val="auto"/>
              </w:rPr>
            </w:pPr>
          </w:p>
        </w:tc>
      </w:tr>
      <w:tr>
        <w:trPr>
          <w:trHeight w:val="196"/>
        </w:trPr>
        <w:tc>
          <w:tcPr>
            <w:tcW w:w="36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2026</w:t>
            </w:r>
          </w:p>
        </w:tc>
        <w:tc>
          <w:tcPr>
            <w:tcW w:w="1300" w:type="dxa"/>
            <w:vAlign w:val="bottom"/>
            <w:tcBorders>
              <w:top w:val="single" w:sz="8" w:color="auto"/>
            </w:tcBorders>
            <w:gridSpan w:val="2"/>
          </w:tcPr>
          <w:p>
            <w:pPr>
              <w:jc w:val="right"/>
              <w:ind w:right="5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b w:val="1"/>
                <w:bCs w:val="1"/>
                <w:color w:val="auto"/>
                <w:w w:val="97"/>
              </w:rPr>
              <w:t>Amount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380"/>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7"/>
                <w:szCs w:val="17"/>
                <w:b w:val="1"/>
                <w:bCs w:val="1"/>
                <w:color w:val="auto"/>
              </w:rPr>
              <w:t>Loss</w:t>
            </w:r>
          </w:p>
        </w:tc>
        <w:tc>
          <w:tcPr>
            <w:tcW w:w="80" w:type="dxa"/>
            <w:vAlign w:val="bottom"/>
          </w:tcPr>
          <w:p>
            <w:pPr>
              <w:spacing w:after="0"/>
              <w:rPr>
                <w:sz w:val="17"/>
                <w:szCs w:val="17"/>
                <w:color w:val="auto"/>
              </w:rPr>
            </w:pPr>
          </w:p>
        </w:tc>
        <w:tc>
          <w:tcPr>
            <w:tcW w:w="124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w w:val="97"/>
              </w:rPr>
              <w:t>Equity</w:t>
            </w:r>
          </w:p>
        </w:tc>
        <w:tc>
          <w:tcPr>
            <w:tcW w:w="0" w:type="dxa"/>
            <w:vAlign w:val="bottom"/>
          </w:tcPr>
          <w:p>
            <w:pPr>
              <w:spacing w:after="0"/>
              <w:rPr>
                <w:sz w:val="1"/>
                <w:szCs w:val="1"/>
                <w:color w:val="auto"/>
              </w:rPr>
            </w:pPr>
          </w:p>
        </w:tc>
      </w:tr>
      <w:tr>
        <w:trPr>
          <w:trHeight w:val="195"/>
        </w:trPr>
        <w:tc>
          <w:tcPr>
            <w:tcW w:w="3600" w:type="dxa"/>
            <w:vAlign w:val="bottom"/>
            <w:vMerge w:val="continue"/>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FFCC"/>
          </w:tcPr>
          <w:p>
            <w:pPr>
              <w:spacing w:after="0"/>
              <w:rPr>
                <w:sz w:val="20"/>
                <w:szCs w:val="20"/>
                <w:color w:val="auto"/>
              </w:rPr>
            </w:pPr>
            <w:r>
              <w:rPr>
                <w:rFonts w:ascii="Times New Roman" w:cs="Times New Roman" w:eastAsia="Times New Roman" w:hAnsi="Times New Roman"/>
                <w:sz w:val="17"/>
                <w:szCs w:val="17"/>
                <w:color w:val="auto"/>
              </w:rPr>
              <w:t>Balance, December 31, 2025 (audited)</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59,845,291</w:t>
            </w:r>
          </w:p>
        </w:tc>
        <w:tc>
          <w:tcPr>
            <w:tcW w:w="160" w:type="dxa"/>
            <w:vAlign w:val="bottom"/>
            <w:shd w:val="clear" w:color="auto" w:fill="CCFFCC"/>
          </w:tcPr>
          <w:p>
            <w:pPr>
              <w:spacing w:after="0"/>
              <w:rPr>
                <w:sz w:val="17"/>
                <w:szCs w:val="17"/>
                <w:color w:val="auto"/>
              </w:rPr>
            </w:pPr>
          </w:p>
        </w:tc>
        <w:tc>
          <w:tcPr>
            <w:tcW w:w="2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598</w:t>
            </w:r>
          </w:p>
        </w:tc>
        <w:tc>
          <w:tcPr>
            <w:tcW w:w="160" w:type="dxa"/>
            <w:vAlign w:val="bottom"/>
            <w:shd w:val="clear" w:color="auto" w:fill="CCFFCC"/>
          </w:tcPr>
          <w:p>
            <w:pPr>
              <w:spacing w:after="0"/>
              <w:rPr>
                <w:sz w:val="17"/>
                <w:szCs w:val="17"/>
                <w:color w:val="auto"/>
              </w:rPr>
            </w:pPr>
          </w:p>
        </w:tc>
        <w:tc>
          <w:tcPr>
            <w:tcW w:w="2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FFCC"/>
          </w:tcPr>
          <w:p>
            <w:pPr>
              <w:spacing w:after="0"/>
              <w:rPr>
                <w:sz w:val="17"/>
                <w:szCs w:val="17"/>
                <w:color w:val="auto"/>
              </w:rPr>
            </w:pPr>
          </w:p>
        </w:tc>
        <w:tc>
          <w:tcPr>
            <w:tcW w:w="2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345,097</w:t>
            </w:r>
          </w:p>
        </w:tc>
        <w:tc>
          <w:tcPr>
            <w:tcW w:w="140" w:type="dxa"/>
            <w:vAlign w:val="bottom"/>
            <w:shd w:val="clear" w:color="auto" w:fill="CCFFCC"/>
          </w:tcPr>
          <w:p>
            <w:pPr>
              <w:spacing w:after="0"/>
              <w:rPr>
                <w:sz w:val="17"/>
                <w:szCs w:val="17"/>
                <w:color w:val="auto"/>
              </w:rPr>
            </w:pPr>
          </w:p>
        </w:tc>
        <w:tc>
          <w:tcPr>
            <w:tcW w:w="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(30,930)</w:t>
            </w:r>
          </w:p>
        </w:tc>
        <w:tc>
          <w:tcPr>
            <w:tcW w:w="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314,765</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(1,240,829)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(25,560)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(153,815)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(179,387)</w:t>
            </w:r>
          </w:p>
        </w:tc>
        <w:tc>
          <w:tcPr>
            <w:tcW w:w="0" w:type="dxa"/>
            <w:vAlign w:val="bottom"/>
          </w:tcPr>
          <w:p>
            <w:pPr>
              <w:spacing w:after="0"/>
              <w:rPr>
                <w:sz w:val="1"/>
                <w:szCs w:val="1"/>
                <w:color w:val="auto"/>
              </w:rPr>
            </w:pPr>
          </w:p>
        </w:tc>
      </w:tr>
      <w:tr>
        <w:trPr>
          <w:trHeight w:val="203"/>
        </w:trPr>
        <w:tc>
          <w:tcPr>
            <w:tcW w:w="36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Restricted stock units issuance</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560,030</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5</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(5)</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Excise tax on net stock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(959)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(959)</w:t>
            </w:r>
          </w:p>
        </w:tc>
        <w:tc>
          <w:tcPr>
            <w:tcW w:w="0" w:type="dxa"/>
            <w:vAlign w:val="bottom"/>
          </w:tcPr>
          <w:p>
            <w:pPr>
              <w:spacing w:after="0"/>
              <w:rPr>
                <w:sz w:val="1"/>
                <w:szCs w:val="1"/>
                <w:color w:val="auto"/>
              </w:rPr>
            </w:pPr>
          </w:p>
        </w:tc>
      </w:tr>
      <w:tr>
        <w:trPr>
          <w:trHeight w:val="203"/>
        </w:trPr>
        <w:tc>
          <w:tcPr>
            <w:tcW w:w="36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26,524</w:t>
            </w: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26,524</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(5,063)</w:t>
            </w: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(5,063)</w:t>
            </w:r>
          </w:p>
        </w:tc>
        <w:tc>
          <w:tcPr>
            <w:tcW w:w="0" w:type="dxa"/>
            <w:vAlign w:val="bottom"/>
          </w:tcPr>
          <w:p>
            <w:pPr>
              <w:spacing w:after="0"/>
              <w:rPr>
                <w:sz w:val="1"/>
                <w:szCs w:val="1"/>
                <w:color w:val="auto"/>
              </w:rPr>
            </w:pPr>
          </w:p>
        </w:tc>
      </w:tr>
      <w:tr>
        <w:trPr>
          <w:trHeight w:val="202"/>
        </w:trPr>
        <w:tc>
          <w:tcPr>
            <w:tcW w:w="3600" w:type="dxa"/>
            <w:vAlign w:val="bottom"/>
            <w:tcBorders>
              <w:bottom w:val="single" w:sz="8" w:color="CCFFCC"/>
            </w:tcBorders>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49,295</w:t>
            </w: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49,295</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March 31, 2026 (unaudited)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59,164,492</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591</w:t>
            </w:r>
          </w:p>
        </w:tc>
        <w:tc>
          <w:tcPr>
            <w:tcW w:w="16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240,577</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(35,993)</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205,175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For the Three Months Ended March 31, 2025</w:t>
            </w: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360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3600" w:type="dxa"/>
            <w:vAlign w:val="bottom"/>
            <w:shd w:val="clear" w:color="auto" w:fill="CCFFCC"/>
          </w:tcPr>
          <w:p>
            <w:pPr>
              <w:spacing w:after="0"/>
              <w:rPr>
                <w:sz w:val="20"/>
                <w:szCs w:val="20"/>
                <w:color w:val="auto"/>
              </w:rPr>
            </w:pPr>
            <w:r>
              <w:rPr>
                <w:rFonts w:ascii="Times New Roman" w:cs="Times New Roman" w:eastAsia="Times New Roman" w:hAnsi="Times New Roman"/>
                <w:sz w:val="17"/>
                <w:szCs w:val="17"/>
                <w:color w:val="auto"/>
              </w:rPr>
              <w:t>Balance, December 31, 2024 (audited)</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60,921,191</w:t>
            </w:r>
          </w:p>
        </w:tc>
        <w:tc>
          <w:tcPr>
            <w:tcW w:w="160" w:type="dxa"/>
            <w:vAlign w:val="bottom"/>
            <w:shd w:val="clear" w:color="auto" w:fill="CCFFCC"/>
          </w:tcPr>
          <w:p>
            <w:pPr>
              <w:spacing w:after="0"/>
              <w:rPr>
                <w:sz w:val="17"/>
                <w:szCs w:val="17"/>
                <w:color w:val="auto"/>
              </w:rPr>
            </w:pPr>
          </w:p>
        </w:tc>
        <w:tc>
          <w:tcPr>
            <w:tcW w:w="2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609</w:t>
            </w:r>
          </w:p>
        </w:tc>
        <w:tc>
          <w:tcPr>
            <w:tcW w:w="160" w:type="dxa"/>
            <w:vAlign w:val="bottom"/>
            <w:shd w:val="clear" w:color="auto" w:fill="CCFFCC"/>
          </w:tcPr>
          <w:p>
            <w:pPr>
              <w:spacing w:after="0"/>
              <w:rPr>
                <w:sz w:val="17"/>
                <w:szCs w:val="17"/>
                <w:color w:val="auto"/>
              </w:rPr>
            </w:pPr>
          </w:p>
        </w:tc>
        <w:tc>
          <w:tcPr>
            <w:tcW w:w="20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FFCC"/>
          </w:tcPr>
          <w:p>
            <w:pPr>
              <w:spacing w:after="0"/>
              <w:rPr>
                <w:sz w:val="17"/>
                <w:szCs w:val="17"/>
                <w:color w:val="auto"/>
              </w:rPr>
            </w:pPr>
          </w:p>
        </w:tc>
        <w:tc>
          <w:tcPr>
            <w:tcW w:w="20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329,439</w:t>
            </w:r>
          </w:p>
        </w:tc>
        <w:tc>
          <w:tcPr>
            <w:tcW w:w="140" w:type="dxa"/>
            <w:vAlign w:val="bottom"/>
            <w:shd w:val="clear" w:color="auto" w:fill="CCFFCC"/>
          </w:tcPr>
          <w:p>
            <w:pPr>
              <w:spacing w:after="0"/>
              <w:rPr>
                <w:sz w:val="17"/>
                <w:szCs w:val="17"/>
                <w:color w:val="auto"/>
              </w:rPr>
            </w:pPr>
          </w:p>
        </w:tc>
        <w:tc>
          <w:tcPr>
            <w:tcW w:w="1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7"/>
                <w:szCs w:val="17"/>
                <w:color w:val="auto"/>
              </w:rPr>
              <w:t>(30,922)</w:t>
            </w:r>
          </w:p>
        </w:tc>
        <w:tc>
          <w:tcPr>
            <w:tcW w:w="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299,126</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(718,309)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(28,497)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(107,943)</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(136,447)</w:t>
            </w:r>
          </w:p>
        </w:tc>
        <w:tc>
          <w:tcPr>
            <w:tcW w:w="0" w:type="dxa"/>
            <w:vAlign w:val="bottom"/>
          </w:tcPr>
          <w:p>
            <w:pPr>
              <w:spacing w:after="0"/>
              <w:rPr>
                <w:sz w:val="1"/>
                <w:szCs w:val="1"/>
                <w:color w:val="auto"/>
              </w:rPr>
            </w:pPr>
          </w:p>
        </w:tc>
      </w:tr>
      <w:tr>
        <w:trPr>
          <w:trHeight w:val="203"/>
        </w:trPr>
        <w:tc>
          <w:tcPr>
            <w:tcW w:w="36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Restricted stock units issuance</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511,931</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6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Excise tax on net stock repurchases</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(324)</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(324)</w:t>
            </w:r>
          </w:p>
        </w:tc>
        <w:tc>
          <w:tcPr>
            <w:tcW w:w="0" w:type="dxa"/>
            <w:vAlign w:val="bottom"/>
          </w:tcPr>
          <w:p>
            <w:pPr>
              <w:spacing w:after="0"/>
              <w:rPr>
                <w:sz w:val="1"/>
                <w:szCs w:val="1"/>
                <w:color w:val="auto"/>
              </w:rPr>
            </w:pPr>
          </w:p>
        </w:tc>
      </w:tr>
      <w:tr>
        <w:trPr>
          <w:trHeight w:val="203"/>
        </w:trPr>
        <w:tc>
          <w:tcPr>
            <w:tcW w:w="3600" w:type="dxa"/>
            <w:vAlign w:val="bottom"/>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Equity-based compensation</w:t>
            </w: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28,826</w:t>
            </w: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11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28,826</w:t>
            </w: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Foreign currency translation adjustment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Borders>
              <w:bottom w:val="single" w:sz="8" w:color="CCFFCC"/>
            </w:tcBorders>
            <w:shd w:val="clear" w:color="auto" w:fill="CCFFCC"/>
          </w:tcPr>
          <w:p>
            <w:pPr>
              <w:ind w:left="80"/>
              <w:spacing w:after="0"/>
              <w:rPr>
                <w:sz w:val="20"/>
                <w:szCs w:val="20"/>
                <w:color w:val="auto"/>
              </w:rPr>
            </w:pPr>
            <w:r>
              <w:rPr>
                <w:rFonts w:ascii="Times New Roman" w:cs="Times New Roman" w:eastAsia="Times New Roman" w:hAnsi="Times New Roman"/>
                <w:sz w:val="17"/>
                <w:szCs w:val="17"/>
                <w:color w:val="auto"/>
              </w:rPr>
              <w:t>Net income</w:t>
            </w: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9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52,582</w:t>
            </w:r>
          </w:p>
        </w:tc>
        <w:tc>
          <w:tcPr>
            <w:tcW w:w="1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CCFFCC"/>
            </w:tcBorders>
            <w:shd w:val="clear" w:color="auto" w:fill="CCFFCC"/>
          </w:tcPr>
          <w:p>
            <w:pPr>
              <w:spacing w:after="0"/>
              <w:rPr>
                <w:sz w:val="17"/>
                <w:szCs w:val="17"/>
                <w:color w:val="auto"/>
              </w:rPr>
            </w:pPr>
          </w:p>
        </w:tc>
        <w:tc>
          <w:tcPr>
            <w:tcW w:w="100" w:type="dxa"/>
            <w:vAlign w:val="bottom"/>
            <w:tcBorders>
              <w:bottom w:val="single" w:sz="8" w:color="auto"/>
            </w:tcBorders>
            <w:shd w:val="clear" w:color="auto" w:fill="CCFFCC"/>
          </w:tcPr>
          <w:p>
            <w:pPr>
              <w:spacing w:after="0"/>
              <w:rPr>
                <w:sz w:val="17"/>
                <w:szCs w:val="17"/>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11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7"/>
                <w:szCs w:val="17"/>
                <w:color w:val="auto"/>
              </w:rPr>
              <w:t>52,582</w:t>
            </w:r>
          </w:p>
        </w:tc>
        <w:tc>
          <w:tcPr>
            <w:tcW w:w="100" w:type="dxa"/>
            <w:vAlign w:val="bottom"/>
            <w:tcBorders>
              <w:bottom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March 31, 2025 (unaudited)</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60,714,813</w:t>
            </w:r>
          </w:p>
        </w:tc>
        <w:tc>
          <w:tcPr>
            <w:tcW w:w="160" w:type="dxa"/>
            <w:vAlign w:val="bottom"/>
          </w:tcPr>
          <w:p>
            <w:pPr>
              <w:spacing w:after="0"/>
              <w:rPr>
                <w:sz w:val="17"/>
                <w:szCs w:val="17"/>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607</w:t>
            </w:r>
          </w:p>
        </w:tc>
        <w:tc>
          <w:tcPr>
            <w:tcW w:w="160" w:type="dxa"/>
            <w:vAlign w:val="bottom"/>
          </w:tcPr>
          <w:p>
            <w:pPr>
              <w:spacing w:after="0"/>
              <w:rPr>
                <w:sz w:val="17"/>
                <w:szCs w:val="17"/>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274,078</w:t>
            </w:r>
          </w:p>
        </w:tc>
        <w:tc>
          <w:tcPr>
            <w:tcW w:w="140" w:type="dxa"/>
            <w:vAlign w:val="bottom"/>
          </w:tcPr>
          <w:p>
            <w:pPr>
              <w:spacing w:after="0"/>
              <w:rPr>
                <w:sz w:val="17"/>
                <w:szCs w:val="17"/>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(29,590)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245,095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-1490980</wp:posOffset>
            </wp:positionV>
            <wp:extent cx="768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-1490980</wp:posOffset>
            </wp:positionV>
            <wp:extent cx="768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-1490980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-1490980</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-1490980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-1490980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-161925</wp:posOffset>
            </wp:positionV>
            <wp:extent cx="7683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-161925</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-161925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-161925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-161925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-161925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3" w:lineRule="exact"/>
        <w:rPr>
          <w:sz w:val="20"/>
          <w:szCs w:val="20"/>
          <w:color w:val="auto"/>
        </w:rPr>
      </w:pPr>
    </w:p>
    <w:p>
      <w:pPr>
        <w:ind w:right="6760" w:firstLine="8"/>
        <w:spacing w:after="0" w:line="378" w:lineRule="auto"/>
        <w:tabs>
          <w:tab w:leader="none" w:pos="374"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Principles of Consolidation Basis of Presentation</w:t>
      </w: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Manhattan Associates, Inc. and its subsidiaries (the “Company,” “we,” “us,” “our,” or “Manhattan”) have been prepared in accordance with accounting principles generally accepted in the United States (GAAP) for interim financial information, with the instructions to Form 10-Q and with Rule 10-01 of Regulation S-X. Accordingly, they do not include all of the information and footnotes required for complete financial statements. In the opinion of management, these condensed consolidated financial statements contain all normal recurring adjustments considered necessary for a fair presentation of our financial position at March 31, 2026, the results of operations for the three months ended March 31, 2026 and 2025, and cash flows for the three months ended March 31, 2026 and 2025. The results for the three months ended March 31, 2026 are not necessarily indicative of the results to be expected for the full year or any other interim period. These statements should be read in conjunction with our audited consolidated financial statements and management’s discussion and analysis included in our annual report on Form 10-K for the year ended December 31,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121" w:lineRule="exact"/>
        <w:rPr>
          <w:sz w:val="20"/>
          <w:szCs w:val="20"/>
          <w:color w:val="auto"/>
        </w:rPr>
      </w:pPr>
    </w:p>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include our accounts and the accounts of our wholly owned subsidiaries. All intercompany balances and transactions have been eliminated in consolidation.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Accounting Standards Update No. 2024-03, Income Statement - Reporting Comprehensive Income - Expense Disaggregation Disclosures (Subtopic 220-40): Disaggregation of Income Statement Expenses ("ASU 2024-03"), and in January 2025, the FASB issued Accounting Standards Update No. 2025-01, Income Statement - Reporting Comprehensive Income - Expense Disaggregation Disclosures (Subtopic 220-40): Clarifying the Effective Date ("ASU 2025-01"). ASU 2024-03 requires additional disclosure of the nature of expenses included in the income statement as well as disclosures about specific types of expenses included in the expense captions presented in the income statement. We expect to adopt the updated accounting guidance in our Annual Report on Form 10-K for the year ended December 31, 2027, and for interim period reporting beginning in 2028, as required in ASU 2024-03 and further clarified by ASU 2025-01. The Company is currently evaluating the impact that the adoption of these standards will have on its consolidated financial statements and disclosures.</w:t>
      </w:r>
    </w:p>
    <w:p>
      <w:pPr>
        <w:spacing w:after="0" w:line="84" w:lineRule="exact"/>
        <w:rPr>
          <w:sz w:val="20"/>
          <w:szCs w:val="20"/>
          <w:color w:val="auto"/>
        </w:rPr>
      </w:pPr>
    </w:p>
    <w:p>
      <w:pPr>
        <w:ind w:right="120" w:firstLine="509"/>
        <w:spacing w:after="0" w:line="253" w:lineRule="auto"/>
        <w:rPr>
          <w:sz w:val="20"/>
          <w:szCs w:val="20"/>
          <w:color w:val="auto"/>
        </w:rPr>
      </w:pPr>
      <w:r>
        <w:rPr>
          <w:rFonts w:ascii="Times New Roman" w:cs="Times New Roman" w:eastAsia="Times New Roman" w:hAnsi="Times New Roman"/>
          <w:sz w:val="18"/>
          <w:szCs w:val="18"/>
          <w:color w:val="auto"/>
        </w:rPr>
        <w:t>In September 2025, the FASB issued Accounting Standards Update No. 2025-06, Intangibles - Goodwill and Other - Internal-Use Software (Subtopic 350-40): Targeted Improvements to the Accounting for Internal-Use Software. ASU 2025-06 amends certain aspects of the accounting for and disclosure for internal-use software costs, which removes references to software development project stages and considers different software development methods, including methods that entities may use to develop software in the future. ASU 2025-06 requires an entity to capitalize software costs when: (1) management has authorized and committed to funding the software project, and (2) it is probable that the project will be completed, and the software will be used to perform the function intended (referred to as the “probable-to-complete recognition threshold"). In evaluating the probable-to-complete recognition threshold, an entity is required to consider whether there is significant uncertainty associated with the development activities of the software. ASU 2025-06 is effective for annual reporting periods beginning after December 15, 2027, and interim reporting periods within those annual reporting periods. The Company is currently evaluating the new guidance but does not expect material changes to results of operations, cash flows, or financial condition.</w:t>
      </w:r>
    </w:p>
    <w:p>
      <w:pPr>
        <w:spacing w:after="0" w:line="82" w:lineRule="exact"/>
        <w:rPr>
          <w:sz w:val="20"/>
          <w:szCs w:val="20"/>
          <w:color w:val="auto"/>
        </w:rPr>
      </w:pPr>
    </w:p>
    <w:p>
      <w:pPr>
        <w:ind w:left="380" w:hanging="372"/>
        <w:spacing w:after="0"/>
        <w:tabs>
          <w:tab w:leader="none" w:pos="3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recognize revenue when we transfer control of the promised products or services to our customers, in an amount that reflects the consideration we expect to be entitled to in exchange for those products or services. We derive our revenue from cloud subscriptions, software licenses, customer support services and software enhancements (“maintenance”) for software licenses, professional services, and sales of hardware. We exclude sales and usage-based taxes from revenue.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Nature of Products and Services</w:t>
      </w:r>
    </w:p>
    <w:p>
      <w:pPr>
        <w:spacing w:after="0" w:line="11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Cloud subscriptions include software as a service (“SaaS”) and hosting arrangements which provide customers with the right to use our software within a cloud environment that we provide and manage where the customer does not have the right to take possession of the software without significant penalty. SaaS and hosting revenues are recognized over the contract period as the service is provided.</w:t>
      </w:r>
    </w:p>
    <w:p>
      <w:pPr>
        <w:spacing w:after="0" w:line="68"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services revenue consists of fees generated from implementation, training and application managed services, including reimbursements of out-of-pocket expenses in connection with our implementation services. Implementation services include system planning, design, configuration, testing, and other software implementation support, and are typically optional and distinct from our</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 w:name="page9"/>
    <w:bookmarkEnd w:id="8"/>
    <w:p>
      <w:pPr>
        <w:ind w:right="40"/>
        <w:spacing w:after="0" w:line="261" w:lineRule="auto"/>
        <w:rPr>
          <w:sz w:val="20"/>
          <w:szCs w:val="20"/>
          <w:color w:val="auto"/>
        </w:rPr>
      </w:pPr>
      <w:r>
        <w:rPr>
          <w:rFonts w:ascii="Times New Roman" w:cs="Times New Roman" w:eastAsia="Times New Roman" w:hAnsi="Times New Roman"/>
          <w:sz w:val="18"/>
          <w:szCs w:val="18"/>
          <w:color w:val="auto"/>
        </w:rPr>
        <w:t>software. Following implementation, customers may purchase application managed services to support and maintain our software. Fees for our services are separately priced and are generally billed on an hourly basis, and revenue is recognized over time as the services are performed. In certain situations, we render professional services under agreements based upon a fixed fee for portions of or all of the engagement. Revenue related to fixed-fee-based services contracts is recognized over time based on the proportion performed.</w:t>
      </w:r>
    </w:p>
    <w:p>
      <w:pPr>
        <w:spacing w:after="0" w:line="72"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Our cloud contracts with customers can include the sales of SaaS and services. We allocate the transaction price to the distinct performance obligations based on relative SSP. We estimate SSP based on the prices charged to customers, or by using information such as market conditions and other observable inputs. The selling price of our cloud subscriptions are highly variable. Thus, we estimate SSP for our cloud subscriptions using the residual approach, determined based on total transaction price less the SSP of other goods and services promised in the contract.</w:t>
      </w:r>
    </w:p>
    <w:p>
      <w:pPr>
        <w:spacing w:after="0" w:line="7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provide maintenance services to customers who have previously purchased a perpetual license, including a comprehensive 24 hours per day, 365 days per year program that provides customers with software upgrades, when and if available, which include additional or improved functionality and technological advances incorporating emerging supply chain and industry initiatives. Maintenance contracts typically only have one performance obligation. Revenue related to maintenance is generally paid in advance and recognized over the term of the agreement, typically twelve months.</w:t>
      </w:r>
    </w:p>
    <w:p>
      <w:pPr>
        <w:spacing w:after="0" w:line="72"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Our perpetual software licenses provide the customer with a right to use the software as it exists at the time of purchase. We recognize revenue for distinct software licenses once the license period has begun and we have made the software available to the customer. The selling prices of our software licenses are highly variable. Thus, we estimate SSP for software licenses using the residual approach, determined based on total transaction price less the SSP of other goods and services promised in the contract.</w:t>
      </w:r>
    </w:p>
    <w:p>
      <w:pPr>
        <w:spacing w:after="0" w:line="72"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customers periodically purchase hardware products developed and manufactured by third parties from us for use with the software licenses purchased from us. These products include computer hardware, radio frequency terminal networks, radio frequency identification (RFID) chip readers, bar code printers and scanners, and other peripherals. As we do not physically control the hardware that we sell, we are acting as an agent in the transaction and recognize our hardware revenue net of related cost. We recognize hardware revenue when control is transferred to the customer upon shipment.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119"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Cloud subscriptions and maintenance for perpetual software licenses are typically billed annually in advance. Timing of invoicing to customers may differ from timing of revenue recognition. Payment terms for our software licenses vary. We have an established history of collecting under the terms of our software license contracts without providing refunds or concessions to our customers. Services are typically billed monthly as performed. In instances where the timing of revenue recognition differs from the timing of invoicing, we have determined that our contracts generally do not include a significant financing component. The primary purpose of our invoicing terms is to provide customers with predictable ways to purchase our software and services, not to provide or receive financing. Additionally, we are applying the practical expedient to exclude from consideration any contracts with payment terms of one year or less. We rarely offer terms extending beyond one year.</w:t>
      </w:r>
    </w:p>
    <w:p>
      <w:pPr>
        <w:spacing w:after="0" w:line="8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Deferred revenue mainly represents amounts collected prior to having completed performance of cloud subscriptions, maintenance, and professional services. In the three months ended March 31, 2026, we recognized $139.1 million of revenue that was included in the deferred revenue balance as of December 31, 2025.</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11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As of March 31, 2026, approximately $2.3 billion of revenue is expected to be recognized from remaining performance obligations. Over 98% of our remaining performance obligations represent cloud native subscriptions with a non-cancelable term greater than one year (including cloud-deferred revenue as well as amounts we will invoice and recognize as revenue from our performance of cloud services in future periods). Maintenance contracts for perpetual software licenses are typically one year in duration and are not included in the remaining performance obligations. We expect to recognize revenue on approximately 38% of these remaining performance obligations over the next 24 months with the majority of the remaining balance recognized over the following 36 months. We have elected not to provide disclosures regarding remaining performance obligations for contracts with a term of 1 year or less.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Returns and Allowances</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have not experienced significant returns or warranty claims to date and, as a result, have not recorded a provision for the cost of returns and product warranty claims.</w:t>
      </w:r>
    </w:p>
    <w:p>
      <w:pPr>
        <w:spacing w:after="0" w:line="54"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record an allowance for credit losses utilizing a model of internal historical losses data. In estimating the allowance for credit losses, we considered our historical write-offs, the historical creditworthiness of the customer, and other factors. We also analyzed expected credit losses given future risks in projected economic conditions and future risks of customer collection. Should</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 w:name="page10"/>
    <w:bookmarkEnd w:id="9"/>
    <w:p>
      <w:pPr>
        <w:ind w:right="140"/>
        <w:spacing w:after="0" w:line="266" w:lineRule="auto"/>
        <w:rPr>
          <w:sz w:val="20"/>
          <w:szCs w:val="20"/>
          <w:color w:val="auto"/>
        </w:rPr>
      </w:pPr>
      <w:r>
        <w:rPr>
          <w:rFonts w:ascii="Times New Roman" w:cs="Times New Roman" w:eastAsia="Times New Roman" w:hAnsi="Times New Roman"/>
          <w:sz w:val="18"/>
          <w:szCs w:val="18"/>
          <w:color w:val="auto"/>
        </w:rPr>
        <w:t>any of these factors change, the estimates made by us will also change accordingly, which could affect the level of our future allowances. Additions to the allowance for credit losses are recorded in general and administrative expense and were immaterial in all periods presented. Our credit loss reserve was $0.9 million as of March 31, 2026 and December 31, 2025.</w:t>
      </w:r>
    </w:p>
    <w:p>
      <w:pPr>
        <w:spacing w:after="0" w:line="68"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We also adjust accounts receivable with a corresponding adjustment in services revenue for the most likely amount of potential service revenue adjustments based on a detailed assessment of accounts receivable. The total amount recorded to services revenue was a $1.1 million reduction and $0.2 million reduction for the three months ended March 31, 2026 and 2025, respectively. As of March 31, 2026 and December 31, 2025, we have reduced our accounts receivable balance by $2.8 million and $1.9 million, respectively, for these potential adjustments.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Commissions</w:t>
      </w:r>
    </w:p>
    <w:p>
      <w:pPr>
        <w:spacing w:after="0" w:line="119" w:lineRule="exact"/>
        <w:rPr>
          <w:sz w:val="20"/>
          <w:szCs w:val="20"/>
          <w:color w:val="auto"/>
        </w:rPr>
      </w:pPr>
    </w:p>
    <w:p>
      <w:pPr>
        <w:ind w:right="200" w:firstLine="509"/>
        <w:spacing w:after="0" w:line="254" w:lineRule="auto"/>
        <w:rPr>
          <w:sz w:val="20"/>
          <w:szCs w:val="20"/>
          <w:color w:val="auto"/>
        </w:rPr>
      </w:pPr>
      <w:r>
        <w:rPr>
          <w:rFonts w:ascii="Times New Roman" w:cs="Times New Roman" w:eastAsia="Times New Roman" w:hAnsi="Times New Roman"/>
          <w:sz w:val="18"/>
          <w:szCs w:val="18"/>
          <w:color w:val="auto"/>
        </w:rPr>
        <w:t>We consider sales commissions to be incremental costs of obtaining a contract with a customer. We defer and recognize an asset for sales commissions related to performance obligations with an expected period of benefit of more than one year. We amortize these amounts over the expected benefit period, which we estimate by considering several factors, including the rate of technological change and duration of our customer contracts. Sales commission for renewal contracts are amortized over the related contractual renewal period. We apply the practical expedient to expense sales commissions when the amortization period would have been one year or less. Deferred commissions were $53.6 million as of March 31, 2026, of which $41.4 million is included in other assets and $12.2 million is included in prepaid expenses. Sales commission expense is included in Sales and Marketing expense in the accompanying Consolidated Statements of Income. Amortization of sales commissions was $3.5 million and $2.9 million for the three months ended March 31, 2026 and 2025, respectively. No impairment losses were recognized during the periods.</w:t>
      </w:r>
    </w:p>
    <w:p>
      <w:pPr>
        <w:spacing w:after="0" w:line="80"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We measure our investments based on a fair value hierarchy disclosure framework that prioritizes and ranks the level of market price observability used in measuring assets and liabilities at fair value. Market price observability is affected by a number of factors, including the type of asset or liability and its characteristics. This hierarchy prioritizes the inputs into three broad levels as follows:</w:t>
      </w:r>
    </w:p>
    <w:p>
      <w:pPr>
        <w:spacing w:after="0" w:line="68"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in active markets for identical instruments.</w:t>
      </w:r>
    </w:p>
    <w:p>
      <w:pPr>
        <w:spacing w:after="0" w:line="117" w:lineRule="exact"/>
        <w:rPr>
          <w:rFonts w:ascii="Times New Roman" w:cs="Times New Roman" w:eastAsia="Times New Roman" w:hAnsi="Times New Roman"/>
          <w:sz w:val="18"/>
          <w:szCs w:val="18"/>
          <w:color w:val="auto"/>
        </w:rPr>
      </w:pPr>
    </w:p>
    <w:p>
      <w:pPr>
        <w:ind w:left="1020" w:right="3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2–Quoted prices for similar instruments in active markets; quoted prices for identical or similar instruments in markets that are not active; and model-derived valuations in which all significant inputs and significant value drivers are observable in active markets.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3–Valuations derived from valuation techniques in which one or more significant inputs or significant value drivers are unobservable.</w:t>
      </w:r>
    </w:p>
    <w:p>
      <w:pPr>
        <w:spacing w:after="0" w:line="117" w:lineRule="exact"/>
        <w:rPr>
          <w:sz w:val="20"/>
          <w:szCs w:val="20"/>
          <w:color w:val="auto"/>
        </w:rPr>
      </w:pPr>
    </w:p>
    <w:p>
      <w:pPr>
        <w:ind w:right="300" w:firstLine="509"/>
        <w:spacing w:after="0" w:line="258" w:lineRule="auto"/>
        <w:rPr>
          <w:sz w:val="20"/>
          <w:szCs w:val="20"/>
          <w:color w:val="auto"/>
        </w:rPr>
      </w:pPr>
      <w:r>
        <w:rPr>
          <w:rFonts w:ascii="Times New Roman" w:cs="Times New Roman" w:eastAsia="Times New Roman" w:hAnsi="Times New Roman"/>
          <w:sz w:val="18"/>
          <w:szCs w:val="18"/>
          <w:color w:val="auto"/>
        </w:rPr>
        <w:t>Investments with maturities of 90 days or less from the date of purchase are classified as cash equivalents; investments with maturities of greater than 90 days from the date of purchase but less than one year are generally classified as short-term investments; and investments with maturities of one year or greater from the date of purchase are generally classified as long-term investments. Unrealized holding gains and losses are reflected as a net amount in a separate component of shareholders’ equity until realized. For the purposes of computing realized gains and losses, cost is determined on a specific identification basis.</w:t>
      </w:r>
    </w:p>
    <w:p>
      <w:pPr>
        <w:spacing w:after="0" w:line="75"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At March 31, 2026, our cash and cash equivalents were $159.2 million and $67.0 million, respectively. Cash equivalents consist of highly liquid money market funds. For money market funds, we use quoted prices from active markets that are classified at Level 1, the highest level of observable input in the disclosure hierarchy framework. We had no investments classified at Level 2 or Level 3 at March 31, 2026.</w:t>
      </w:r>
    </w:p>
    <w:p>
      <w:pPr>
        <w:spacing w:after="0" w:line="64" w:lineRule="exact"/>
        <w:rPr>
          <w:sz w:val="20"/>
          <w:szCs w:val="20"/>
          <w:color w:val="auto"/>
        </w:rPr>
      </w:pPr>
    </w:p>
    <w:p>
      <w:pPr>
        <w:ind w:left="380" w:hanging="372"/>
        <w:spacing w:after="0"/>
        <w:tabs>
          <w:tab w:leader="none" w:pos="3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Equity-Based Compensation</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granted 808,170 and 486,350 restricted stock units (RSUs) during the three months ended March 31, 2026 and 2025, respectively. Equity-based compensation expense related to RSUs was $26.5 million and $28.8 million during the three months ended March 31, 2026 and 2025, respectively.</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present below a summary of changes during the three months ended March 31, 2026 in our unvested units of restricted stock:</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00" w:type="dxa"/>
            <w:vAlign w:val="bottom"/>
          </w:tcPr>
          <w:p>
            <w:pPr>
              <w:spacing w:after="0"/>
              <w:rPr>
                <w:sz w:val="20"/>
                <w:szCs w:val="20"/>
                <w:color w:val="auto"/>
              </w:rPr>
            </w:pPr>
          </w:p>
        </w:tc>
        <w:tc>
          <w:tcPr>
            <w:tcW w:w="4800" w:type="dxa"/>
            <w:vAlign w:val="bottom"/>
          </w:tcPr>
          <w:p>
            <w:pPr>
              <w:spacing w:after="0"/>
              <w:rPr>
                <w:sz w:val="20"/>
                <w:szCs w:val="20"/>
                <w:color w:val="auto"/>
              </w:rPr>
            </w:pPr>
          </w:p>
        </w:tc>
        <w:tc>
          <w:tcPr>
            <w:tcW w:w="22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 shares/units</w:t>
            </w:r>
          </w:p>
        </w:tc>
        <w:tc>
          <w:tcPr>
            <w:tcW w:w="100" w:type="dxa"/>
            <w:vAlign w:val="bottom"/>
          </w:tcPr>
          <w:p>
            <w:pPr>
              <w:spacing w:after="0"/>
              <w:rPr>
                <w:sz w:val="20"/>
                <w:szCs w:val="20"/>
                <w:color w:val="auto"/>
              </w:rPr>
            </w:pPr>
          </w:p>
        </w:tc>
      </w:tr>
      <w:tr>
        <w:trPr>
          <w:trHeight w:val="210"/>
        </w:trPr>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2025</w:t>
            </w:r>
          </w:p>
        </w:tc>
        <w:tc>
          <w:tcPr>
            <w:tcW w:w="7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1,396,941</w:t>
            </w:r>
          </w:p>
        </w:tc>
        <w:tc>
          <w:tcPr>
            <w:tcW w:w="100" w:type="dxa"/>
            <w:vAlign w:val="bottom"/>
            <w:shd w:val="clear" w:color="auto" w:fill="CCFFCC"/>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7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808,170</w:t>
            </w:r>
          </w:p>
        </w:tc>
        <w:tc>
          <w:tcPr>
            <w:tcW w:w="100" w:type="dxa"/>
            <w:vAlign w:val="bottom"/>
          </w:tcPr>
          <w:p>
            <w:pPr>
              <w:spacing w:after="0"/>
              <w:rPr>
                <w:sz w:val="18"/>
                <w:szCs w:val="18"/>
                <w:color w:val="auto"/>
              </w:rPr>
            </w:pPr>
          </w:p>
        </w:tc>
      </w:tr>
      <w:tr>
        <w:trPr>
          <w:trHeight w:val="216"/>
        </w:trPr>
        <w:tc>
          <w:tcPr>
            <w:tcW w:w="410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Vested</w:t>
            </w:r>
          </w:p>
        </w:tc>
        <w:tc>
          <w:tcPr>
            <w:tcW w:w="7140" w:type="dxa"/>
            <w:vAlign w:val="bottom"/>
            <w:gridSpan w:val="3"/>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(560,030)</w:t>
            </w:r>
          </w:p>
        </w:tc>
      </w:tr>
      <w:tr>
        <w:trPr>
          <w:trHeight w:val="216"/>
        </w:trPr>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4800" w:type="dxa"/>
            <w:vAlign w:val="bottom"/>
          </w:tcPr>
          <w:p>
            <w:pPr>
              <w:spacing w:after="0"/>
              <w:rPr>
                <w:sz w:val="18"/>
                <w:szCs w:val="18"/>
                <w:color w:val="auto"/>
              </w:rPr>
            </w:pPr>
          </w:p>
        </w:tc>
        <w:tc>
          <w:tcPr>
            <w:tcW w:w="2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(64,508)</w:t>
            </w:r>
          </w:p>
        </w:tc>
      </w:tr>
      <w:tr>
        <w:trPr>
          <w:trHeight w:val="249"/>
        </w:trPr>
        <w:tc>
          <w:tcPr>
            <w:tcW w:w="410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Outstanding at March 31, 2026</w:t>
            </w:r>
          </w:p>
        </w:tc>
        <w:tc>
          <w:tcPr>
            <w:tcW w:w="4800" w:type="dxa"/>
            <w:vAlign w:val="bottom"/>
            <w:tcBorders>
              <w:bottom w:val="single" w:sz="8" w:color="CCFFCC"/>
            </w:tcBorders>
            <w:shd w:val="clear" w:color="auto" w:fill="CCFFCC"/>
          </w:tcPr>
          <w:p>
            <w:pPr>
              <w:spacing w:after="0"/>
              <w:rPr>
                <w:sz w:val="21"/>
                <w:szCs w:val="21"/>
                <w:color w:val="auto"/>
              </w:rPr>
            </w:pPr>
          </w:p>
        </w:tc>
        <w:tc>
          <w:tcPr>
            <w:tcW w:w="2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1,580,573</w:t>
            </w:r>
          </w:p>
        </w:tc>
        <w:tc>
          <w:tcPr>
            <w:tcW w:w="100" w:type="dxa"/>
            <w:vAlign w:val="bottom"/>
            <w:tcBorders>
              <w:bottom w:val="single" w:sz="8" w:color="CCFFCC"/>
            </w:tcBorders>
            <w:shd w:val="clear" w:color="auto" w:fill="CCFFCC"/>
          </w:tcPr>
          <w:p>
            <w:pPr>
              <w:spacing w:after="0"/>
              <w:rPr>
                <w:sz w:val="21"/>
                <w:szCs w:val="21"/>
                <w:color w:val="auto"/>
              </w:rPr>
            </w:pPr>
          </w:p>
        </w:tc>
      </w:tr>
      <w:tr>
        <w:trPr>
          <w:trHeight w:val="655"/>
        </w:trPr>
        <w:tc>
          <w:tcPr>
            <w:tcW w:w="4100" w:type="dxa"/>
            <w:vAlign w:val="bottom"/>
          </w:tcPr>
          <w:p>
            <w:pPr>
              <w:spacing w:after="0"/>
              <w:rPr>
                <w:sz w:val="24"/>
                <w:szCs w:val="24"/>
                <w:color w:val="auto"/>
              </w:rPr>
            </w:pPr>
          </w:p>
        </w:tc>
        <w:tc>
          <w:tcPr>
            <w:tcW w:w="4800" w:type="dxa"/>
            <w:vAlign w:val="bottom"/>
          </w:tcPr>
          <w:p>
            <w:pPr>
              <w:jc w:val="right"/>
              <w:ind w:right="3090"/>
              <w:spacing w:after="0"/>
              <w:rPr>
                <w:sz w:val="20"/>
                <w:szCs w:val="20"/>
                <w:color w:val="auto"/>
              </w:rPr>
            </w:pPr>
            <w:r>
              <w:rPr>
                <w:rFonts w:ascii="Times New Roman" w:cs="Times New Roman" w:eastAsia="Times New Roman" w:hAnsi="Times New Roman"/>
                <w:sz w:val="18"/>
                <w:szCs w:val="18"/>
                <w:color w:val="auto"/>
              </w:rPr>
              <w:t>10</w:t>
            </w: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10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 w:name="page11"/>
    <w:bookmarkEnd w:id="10"/>
    <w:p>
      <w:pPr>
        <w:ind w:left="380" w:hanging="372"/>
        <w:spacing w:after="0"/>
        <w:tabs>
          <w:tab w:leader="none" w:pos="38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Our provision for income taxes varied from the tax computed at the U.S. federal statutory income tax rate for the periods presented primarily due to the Foreign Derived Intangible Income deduction, state taxes, employee compensation limitation, the tax effects of stock-based compensation, and the U.S. research and development tax credit. Our effective tax rate was 28.8% and 18.5% for the three months ended March 31, 2026 and 2025, respectively. The increase in the effective tax rate for the three months ended March 31, 2026 is due to a decrease of stock-based compensation benefits.</w:t>
      </w:r>
    </w:p>
    <w:p>
      <w:pPr>
        <w:spacing w:after="0" w:line="72" w:lineRule="exact"/>
        <w:rPr>
          <w:sz w:val="20"/>
          <w:szCs w:val="20"/>
          <w:color w:val="auto"/>
        </w:rPr>
      </w:pPr>
    </w:p>
    <w:p>
      <w:pPr>
        <w:jc w:val="both"/>
        <w:ind w:right="460" w:firstLine="509"/>
        <w:spacing w:after="0" w:line="266" w:lineRule="auto"/>
        <w:rPr>
          <w:sz w:val="20"/>
          <w:szCs w:val="20"/>
          <w:color w:val="auto"/>
        </w:rPr>
      </w:pPr>
      <w:r>
        <w:rPr>
          <w:rFonts w:ascii="Times New Roman" w:cs="Times New Roman" w:eastAsia="Times New Roman" w:hAnsi="Times New Roman"/>
          <w:sz w:val="18"/>
          <w:szCs w:val="18"/>
          <w:color w:val="auto"/>
        </w:rPr>
        <w:t>We apply the provisions for income taxes related to, among other things, accounting for uncertain tax positions and disclosure requirements in accordance with Accounting Standards Classification (ASC) 740, Income Taxes. For the three months ended March 31, 2026, there were no material changes to our uncertain tax positions.</w:t>
      </w:r>
    </w:p>
    <w:p>
      <w:pPr>
        <w:spacing w:after="0" w:line="6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We conduct business globally and, as a result, file income tax returns in the U.S. federal jurisdiction and various state and foreign jurisdictions. In the normal course of business, Manhattan is subject to examination by taxing authorities throughout the world. We are no longer subject to U.S. federal, substantially all state and local income tax examinations and substantially all non-U.S. income tax examinations for years before 2015.</w:t>
      </w:r>
    </w:p>
    <w:p>
      <w:pPr>
        <w:spacing w:after="0" w:line="68"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On July 4, 2025, the One Big Beautiful Bill Act (“OBBBA”) was enacted into law. The OBBBA allowed an immediate deduction for domestic research and development expenditures, reinstates 100% bonus depreciation, and modifies international tax provisions. The acceleration of the deduction for domestic research and development expenditures reduces our cash taxes owed for 2025 and 2026.</w:t>
      </w:r>
    </w:p>
    <w:p>
      <w:pPr>
        <w:spacing w:after="0" w:line="172" w:lineRule="exact"/>
        <w:rPr>
          <w:sz w:val="20"/>
          <w:szCs w:val="20"/>
          <w:color w:val="auto"/>
        </w:rPr>
      </w:pPr>
    </w:p>
    <w:p>
      <w:pPr>
        <w:ind w:left="380" w:hanging="372"/>
        <w:spacing w:after="0"/>
        <w:tabs>
          <w:tab w:leader="none" w:pos="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and Diluted Net Income Per Share</w:t>
      </w:r>
    </w:p>
    <w:p>
      <w:pPr>
        <w:spacing w:after="0" w:line="121" w:lineRule="exact"/>
        <w:rPr>
          <w:sz w:val="20"/>
          <w:szCs w:val="20"/>
          <w:color w:val="auto"/>
        </w:rPr>
      </w:pPr>
    </w:p>
    <w:p>
      <w:pPr>
        <w:ind w:right="740" w:firstLine="509"/>
        <w:spacing w:after="0" w:line="282" w:lineRule="auto"/>
        <w:rPr>
          <w:sz w:val="20"/>
          <w:szCs w:val="20"/>
          <w:color w:val="auto"/>
        </w:rPr>
      </w:pPr>
      <w:r>
        <w:rPr>
          <w:rFonts w:ascii="Times New Roman" w:cs="Times New Roman" w:eastAsia="Times New Roman" w:hAnsi="Times New Roman"/>
          <w:sz w:val="18"/>
          <w:szCs w:val="18"/>
          <w:color w:val="auto"/>
        </w:rPr>
        <w:t>Basic net income per share is computed using net income divided by the weighted average number of shares of common stock outstanding (“Weighted Shares”) for the period presented.</w:t>
      </w:r>
    </w:p>
    <w:p>
      <w:pPr>
        <w:spacing w:after="0" w:line="54"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Diluted net income per share is computed using net income divided by Weighted Shares and the treasury stock method effect of common equivalent shares ("CESs") outstanding for each period presented.</w:t>
      </w:r>
    </w:p>
    <w:p>
      <w:pPr>
        <w:spacing w:after="0" w:line="54"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the following table, we present a reconciliation of earnings per share and the shares used in the computation of earnings per share for the three months ended March 31, 2026 and 2025 (in thousands, except per share data):</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8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3"/>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1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Borders>
              <w:bottom w:val="single" w:sz="8" w:color="auto"/>
            </w:tcBorders>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73"/>
              </w:rPr>
              <w:t>except</w:t>
            </w:r>
          </w:p>
        </w:tc>
        <w:tc>
          <w:tcPr>
            <w:tcW w:w="1300" w:type="dxa"/>
            <w:vAlign w:val="bottom"/>
            <w:tcBorders>
              <w:bottom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8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980" w:type="dxa"/>
            <w:vAlign w:val="bottom"/>
            <w:gridSpan w:val="2"/>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vMerge w:val="continue"/>
          </w:tcPr>
          <w:p>
            <w:pPr>
              <w:spacing w:after="0"/>
              <w:rPr>
                <w:sz w:val="15"/>
                <w:szCs w:val="15"/>
                <w:color w:val="auto"/>
              </w:rPr>
            </w:pPr>
          </w:p>
        </w:tc>
        <w:tc>
          <w:tcPr>
            <w:tcW w:w="13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per share data)</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8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56"/>
        </w:trPr>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3140" w:type="dxa"/>
            <w:vAlign w:val="bottom"/>
            <w:gridSpan w:val="2"/>
            <w:shd w:val="clear" w:color="auto" w:fill="CCFFCC"/>
          </w:tcPr>
          <w:p>
            <w:pPr>
              <w:jc w:val="right"/>
              <w:ind w:right="968"/>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49,295</w:t>
            </w:r>
          </w:p>
        </w:tc>
        <w:tc>
          <w:tcPr>
            <w:tcW w:w="300" w:type="dxa"/>
            <w:vAlign w:val="bottom"/>
            <w:shd w:val="clear" w:color="auto" w:fill="CCFFCC"/>
          </w:tcPr>
          <w:p>
            <w:pPr>
              <w:spacing w:after="0"/>
              <w:rPr>
                <w:sz w:val="22"/>
                <w:szCs w:val="22"/>
                <w:color w:val="auto"/>
              </w:rPr>
            </w:pPr>
          </w:p>
        </w:tc>
        <w:tc>
          <w:tcPr>
            <w:tcW w:w="1300" w:type="dxa"/>
            <w:vAlign w:val="bottom"/>
            <w:shd w:val="clear" w:color="auto" w:fill="CCFFCC"/>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100" w:type="dxa"/>
            <w:vAlign w:val="bottom"/>
            <w:shd w:val="clear" w:color="auto" w:fill="CCFFCC"/>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860" w:type="dxa"/>
            <w:vAlign w:val="bottom"/>
            <w:tcBorders>
              <w:top w:val="single" w:sz="8" w:color="CCFFCC"/>
            </w:tcBorders>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per share:</w:t>
            </w:r>
          </w:p>
        </w:tc>
        <w:tc>
          <w:tcPr>
            <w:tcW w:w="2020" w:type="dxa"/>
            <w:vAlign w:val="bottom"/>
            <w:tcBorders>
              <w:top w:val="single" w:sz="8" w:color="CCFFCC"/>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00" w:type="dxa"/>
            <w:vAlign w:val="bottom"/>
            <w:tcBorders>
              <w:top w:val="single" w:sz="8" w:color="CCFFCC"/>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3140" w:type="dxa"/>
            <w:vAlign w:val="bottom"/>
            <w:gridSpan w:val="2"/>
            <w:shd w:val="clear" w:color="auto" w:fill="CCFFCC"/>
          </w:tcPr>
          <w:p>
            <w:pPr>
              <w:jc w:val="right"/>
              <w:ind w:right="968"/>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0.83</w:t>
            </w:r>
          </w:p>
        </w:tc>
        <w:tc>
          <w:tcPr>
            <w:tcW w:w="300" w:type="dxa"/>
            <w:vAlign w:val="bottom"/>
            <w:shd w:val="clear" w:color="auto" w:fill="CCFFCC"/>
          </w:tcPr>
          <w:p>
            <w:pPr>
              <w:spacing w:after="0"/>
              <w:rPr>
                <w:sz w:val="18"/>
                <w:szCs w:val="18"/>
                <w:color w:val="auto"/>
              </w:rPr>
            </w:pPr>
          </w:p>
        </w:tc>
        <w:tc>
          <w:tcPr>
            <w:tcW w:w="1300" w:type="dxa"/>
            <w:vAlign w:val="bottom"/>
            <w:shd w:val="clear" w:color="auto" w:fill="CCFFCC"/>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0.86</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Effect of CESs</w:t>
            </w:r>
          </w:p>
        </w:tc>
        <w:tc>
          <w:tcPr>
            <w:tcW w:w="2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6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b w:val="1"/>
                <w:bCs w:val="1"/>
                <w:color w:val="auto"/>
              </w:rPr>
              <w:t>(0.01)</w:t>
            </w:r>
          </w:p>
        </w:tc>
        <w:tc>
          <w:tcPr>
            <w:tcW w:w="130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w:t>
            </w:r>
          </w:p>
        </w:tc>
        <w:tc>
          <w:tcPr>
            <w:tcW w:w="3140" w:type="dxa"/>
            <w:vAlign w:val="bottom"/>
            <w:gridSpan w:val="2"/>
            <w:shd w:val="clear" w:color="auto" w:fill="CCFFCC"/>
          </w:tcPr>
          <w:p>
            <w:pPr>
              <w:jc w:val="right"/>
              <w:ind w:right="968"/>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300" w:type="dxa"/>
            <w:vAlign w:val="bottom"/>
            <w:shd w:val="clear" w:color="auto" w:fill="CCFFCC"/>
          </w:tcPr>
          <w:p>
            <w:pPr>
              <w:spacing w:after="0"/>
              <w:rPr>
                <w:sz w:val="21"/>
                <w:szCs w:val="21"/>
                <w:color w:val="auto"/>
              </w:rPr>
            </w:pPr>
          </w:p>
        </w:tc>
        <w:tc>
          <w:tcPr>
            <w:tcW w:w="1300" w:type="dxa"/>
            <w:vAlign w:val="bottom"/>
            <w:shd w:val="clear" w:color="auto" w:fill="CCFFCC"/>
          </w:tcPr>
          <w:p>
            <w:pPr>
              <w:jc w:val="right"/>
              <w:ind w:right="1117"/>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0.85</w:t>
            </w:r>
          </w:p>
        </w:tc>
        <w:tc>
          <w:tcPr>
            <w:tcW w:w="100" w:type="dxa"/>
            <w:vAlign w:val="bottom"/>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486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w:t>
            </w:r>
          </w:p>
        </w:tc>
        <w:tc>
          <w:tcPr>
            <w:tcW w:w="2020" w:type="dxa"/>
            <w:vAlign w:val="bottom"/>
            <w:tcBorders>
              <w:top w:val="single" w:sz="8" w:color="CCFFCC"/>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00" w:type="dxa"/>
            <w:vAlign w:val="bottom"/>
            <w:tcBorders>
              <w:top w:val="single" w:sz="8" w:color="CCFFCC"/>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Basic</w:t>
            </w:r>
          </w:p>
        </w:tc>
        <w:tc>
          <w:tcPr>
            <w:tcW w:w="2020" w:type="dxa"/>
            <w:vAlign w:val="bottom"/>
            <w:shd w:val="clear" w:color="auto" w:fill="CCFFCC"/>
          </w:tcPr>
          <w:p>
            <w:pPr>
              <w:spacing w:after="0"/>
              <w:rPr>
                <w:sz w:val="18"/>
                <w:szCs w:val="18"/>
                <w:color w:val="auto"/>
              </w:rPr>
            </w:pPr>
          </w:p>
        </w:tc>
        <w:tc>
          <w:tcPr>
            <w:tcW w:w="112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59,688</w:t>
            </w:r>
          </w:p>
        </w:tc>
        <w:tc>
          <w:tcPr>
            <w:tcW w:w="30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60,870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Effect of CESs</w:t>
            </w:r>
          </w:p>
        </w:tc>
        <w:tc>
          <w:tcPr>
            <w:tcW w:w="2020" w:type="dxa"/>
            <w:vAlign w:val="bottom"/>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350</w:t>
            </w:r>
          </w:p>
        </w:tc>
        <w:tc>
          <w:tcPr>
            <w:tcW w:w="300" w:type="dxa"/>
            <w:vAlign w:val="bottom"/>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48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w:t>
            </w:r>
          </w:p>
        </w:tc>
        <w:tc>
          <w:tcPr>
            <w:tcW w:w="2020" w:type="dxa"/>
            <w:vAlign w:val="bottom"/>
            <w:tcBorders>
              <w:bottom w:val="single" w:sz="8" w:color="CCFFCC"/>
            </w:tcBorders>
            <w:shd w:val="clear" w:color="auto" w:fill="CCFFCC"/>
          </w:tcPr>
          <w:p>
            <w:pPr>
              <w:spacing w:after="0"/>
              <w:rPr>
                <w:sz w:val="21"/>
                <w:szCs w:val="21"/>
                <w:color w:val="auto"/>
              </w:rPr>
            </w:pPr>
          </w:p>
        </w:tc>
        <w:tc>
          <w:tcPr>
            <w:tcW w:w="1120" w:type="dxa"/>
            <w:vAlign w:val="bottom"/>
            <w:tcBorders>
              <w:bottom w:val="single" w:sz="8" w:color="auto"/>
            </w:tcBorders>
            <w:shd w:val="clear" w:color="auto" w:fill="CCFFCC"/>
          </w:tcPr>
          <w:p>
            <w:pPr>
              <w:spacing w:after="0"/>
              <w:rPr>
                <w:sz w:val="21"/>
                <w:szCs w:val="21"/>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60,038</w:t>
            </w:r>
          </w:p>
        </w:tc>
        <w:tc>
          <w:tcPr>
            <w:tcW w:w="300" w:type="dxa"/>
            <w:vAlign w:val="bottom"/>
            <w:tcBorders>
              <w:bottom w:val="single" w:sz="8" w:color="CCFFCC"/>
            </w:tcBorders>
            <w:shd w:val="clear" w:color="auto" w:fill="CCFFCC"/>
          </w:tcPr>
          <w:p>
            <w:pPr>
              <w:spacing w:after="0"/>
              <w:rPr>
                <w:sz w:val="21"/>
                <w:szCs w:val="21"/>
                <w:color w:val="auto"/>
              </w:rPr>
            </w:pPr>
          </w:p>
        </w:tc>
        <w:tc>
          <w:tcPr>
            <w:tcW w:w="1300" w:type="dxa"/>
            <w:vAlign w:val="bottom"/>
            <w:tcBorders>
              <w:bottom w:val="single" w:sz="8" w:color="auto"/>
            </w:tcBorders>
            <w:shd w:val="clear" w:color="auto" w:fill="CCFFCC"/>
          </w:tcPr>
          <w:p>
            <w:pPr>
              <w:spacing w:after="0"/>
              <w:rPr>
                <w:sz w:val="21"/>
                <w:szCs w:val="21"/>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61,527</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-1327785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-1310640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-1327785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-1310640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-744855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-727710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-744855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-727710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-24765</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-7620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number of anti-dilutive CESs during the three months ended March 31, 2026 and 2025 was immaterial.</w:t>
      </w:r>
    </w:p>
    <w:p>
      <w:pPr>
        <w:spacing w:after="0" w:line="221" w:lineRule="exact"/>
        <w:rPr>
          <w:sz w:val="20"/>
          <w:szCs w:val="20"/>
          <w:color w:val="auto"/>
        </w:rPr>
      </w:pPr>
    </w:p>
    <w:p>
      <w:pPr>
        <w:ind w:left="380" w:hanging="372"/>
        <w:spacing w:after="0"/>
        <w:tabs>
          <w:tab w:leader="none" w:pos="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Contingencies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relating to claims arising out of the ordinary course of business, and occasionally legal proceedings not in the ordinary course.</w:t>
      </w:r>
    </w:p>
    <w:p>
      <w:pPr>
        <w:spacing w:after="0" w:line="54"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Many of our software products and services are critical to our customers’ business operations. Failures could result in claims against us for substantial damages, regardless of our level of responsibility for those failures. We attempt to limit contractually our liability for damages arising from product or service failures or our negligent acts or omissions, but there can be no absolute assurance that those limitations will be enforceable.</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 w:name="page12"/>
    <w:bookmarkEnd w:id="11"/>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Although litigation and other legal proceeding outcomes are difficult to predict, we do not believe we are a party to any legal proceeding the result of which is likely to have a material adverse impact on our business, financial position, results of operations, or cash flows. We expense legal costs associated with loss contingencies as we incur them. We record insurance recoveries when received.</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Among other proceedings, we are currently party to the lawsuits described below.</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Litigation</w:t>
      </w:r>
    </w:p>
    <w:p>
      <w:pPr>
        <w:spacing w:after="0" w:line="11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On February 25, 2025, an alleged Company shareholder filed a putative class action lawsuit, Prime v. Manhattan Associates, Inc., et al., No. 1:25-cv-00992-TRJ (N.D. Ga.), in the United States District Court for the Northern District of Georgia against the Company and certain of our current and former officers (the “Prime Action”). The complaint in the Prime Action alleged violations of Sections 10(b) and 20(a) of the Securities Exchange Act of 1934, as amended (the “Exchange Act”), and Rule 10b-5 promulgated under that act, based on purported materially false and misleading statements and omissions allegedly made by the defendants (the Company and named current and former officers) between October 22, 2024, and January 28, 2025. The complaint in the Prime Action sought class certification, unspecified monetary damages, and costs and attorneys’ fees. On April 15, 2025, another alleged Company shareholder filed a putative class action lawsuit, City of Orlando Police Officers’ Pension Fund v. Manhattan Associates, Inc., et al., No. 1:25-cv-02089-TRJ (N.D. Ga.), in the United States District Court for the Northern District of Georgia against the Company and certain of our current and former officers (the “City of Orlando Action”). The complaint in the City of Orlando Action alleged violations of Sections 10(b) and 20(a) of the Exchange Act and Rule 10b-5 based on purported materially false and misleading statements and omissions allegedly made by the defendants between July 24, 2024, and February 7, 2025. The factual allegations underlying the claims in the City of Orlando Action were similar to the factual allegations made in the Prime Action. The complaint in the City of Orlando Action sought class certification, unspecified monetary damages, and costs and attorneys’ fees. On May 2, 2025, the Court consolidated the two actions (the “Consolidated Action”), and on May 23, 2025, the Court appointed the plaintiffs in the City of Orlando Action as the lead plaintiffs in the Consolidated Action. On July 22, 2025, the lead plaintiffs filed their Amended Complaint, in which the securities law violations alleged are the same as those alleged in the original actions and the proposed class period is the same as in the City of Orlando action. The defendants deny the material allegations in the Consolidated Action, which is still in the early stages and has not yet been certified as a class action, and intend to defend themselves vigorously. The defendants filed a motion to dismiss the Consolidated Action on September 22, 2025, and the parties presented oral arguments on the motion on April 9, 2026. The Company maintains insurance that may cover defendants’ liability arising out of this litigation up to the policy limits and subject to meeting certain deductibles and to other terms and conditions. We are unable to predict the ultimate timing or outcome of, or reasonably estimate the possible losses or a range of possible losses resulting from, these proceedings.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Derivative Litigation</w:t>
      </w:r>
    </w:p>
    <w:p>
      <w:pPr>
        <w:spacing w:after="0" w:line="11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September 22, 2025, a purported Company shareholder, Patrick Ayers, filed a shareholder derivative lawsuit, Ayers v. Capel, et al., No. 1:25-cv-05416-TRJ, in the United States District Court for the Northern District of Georgia (the “Ayers Action”). The Ayers Action names certain of the Company’s current and former officers and directors as defendants. The allegations in the Ayers Action overlap substantially with the allegations in the above-referenced Consolidated Action. The Ayers Action assert claims for alleged violations of the federal securities laws, breach of fiduciary duty, waste, and unjust enrichment. On October 14, 2025, the Court entered an order staying the Ayers Action pending resolution of the motion to dismiss in the Consolidated Action. We are unable to predict the ultimate timing or outcome of, or reasonably estimate the possible losses or a range of possible losses resulting from, these proceedings.</w:t>
      </w:r>
    </w:p>
    <w:p>
      <w:pPr>
        <w:spacing w:after="0" w:line="185"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Reportable Segments</w:t>
      </w:r>
    </w:p>
    <w:p>
      <w:pPr>
        <w:spacing w:after="0" w:line="121"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We manage our business by geographic segment and have three geographic reportable segments: the Americas (North, Latin and South America); Europe, the Middle East, and Africa (EMEA); and Asia Pacific (APAC). All segments derive revenue from the sale and implementation of our supply chain commerce solutions. We primarily operate in the Americas operating segment because most of the Company's service offerings operate on the Manhattan platform and are deployed and sold in a nearly identical manner. The individual products sold by the segments are similar in nature and are all designed to help companies manage the effectiveness and efficiency of their supply chain commerce. We use the same accounting policies for each reportable segment. The chief operating decision maker (Chief Executive Officer) reviews the variances in each reportable segment’s operating income compared to prior periods and to budget on a monthly basis to evaluate performance and allocate resources (including employees, financial or capital).</w:t>
      </w:r>
    </w:p>
    <w:p>
      <w:pPr>
        <w:spacing w:after="0" w:line="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Americas segment charges royalty fees to the other segments based on cloud subscriptions and software licenses sold by those reportable segments. The royalties, which totaled approximately $7.0 million for both the three months ended March 31, 2026 and 2025, respectively, are included in costs of revenue for each segment with a corresponding reduction in the Americas segment’s cost of revenue. The revenues represented below are from external customers only. The geography-based costs consist of costs for professional services personnel, direct sales and marketing expenses, infrastructure costs to support the employee and customer base, billing and financial systems, management and general and administrative support. There are certain corporate expenses included in the Americas segment that we do not charge to the other segments. Such expenses include research and development, stock</w:t>
      </w: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2" w:name="page13"/>
    <w:bookmarkEnd w:id="12"/>
    <w:p>
      <w:pPr>
        <w:ind w:right="400"/>
        <w:spacing w:after="0" w:line="282" w:lineRule="auto"/>
        <w:rPr>
          <w:sz w:val="20"/>
          <w:szCs w:val="20"/>
          <w:color w:val="auto"/>
        </w:rPr>
      </w:pPr>
      <w:r>
        <w:rPr>
          <w:rFonts w:ascii="Times New Roman" w:cs="Times New Roman" w:eastAsia="Times New Roman" w:hAnsi="Times New Roman"/>
          <w:sz w:val="18"/>
          <w:szCs w:val="18"/>
          <w:color w:val="auto"/>
        </w:rPr>
        <w:t>compensation, certain marketing and general and administrative costs that support the global organization, and the amortization of acquired developed technology. Costs in the Americas’ segment include all research and development costs including the costs associated with our operations in India.</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accordance with segment reporting topic of the FASB Codification, we present below certain financial information by reportable segment for the three months ended March 31, 2026 and 2025 (in thousands):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March 31,</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9"/>
        </w:trPr>
        <w:tc>
          <w:tcPr>
            <w:tcW w:w="2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2026</w:t>
            </w:r>
          </w:p>
        </w:tc>
        <w:tc>
          <w:tcPr>
            <w:tcW w:w="6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3"/>
          </w:tcPr>
          <w:p>
            <w:pPr>
              <w:jc w:val="right"/>
              <w:ind w:right="519"/>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24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EMEA</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w w:val="94"/>
              </w:rPr>
              <w:t>APAC</w:t>
            </w:r>
          </w:p>
        </w:tc>
        <w:tc>
          <w:tcPr>
            <w:tcW w:w="120" w:type="dxa"/>
            <w:vAlign w:val="bottom"/>
          </w:tcPr>
          <w:p>
            <w:pPr>
              <w:spacing w:after="0"/>
              <w:rPr>
                <w:sz w:val="17"/>
                <w:szCs w:val="17"/>
                <w:color w:val="auto"/>
              </w:rPr>
            </w:pP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Americas</w:t>
            </w:r>
          </w:p>
        </w:tc>
        <w:tc>
          <w:tcPr>
            <w:tcW w:w="120" w:type="dxa"/>
            <w:vAlign w:val="bottom"/>
          </w:tcPr>
          <w:p>
            <w:pPr>
              <w:spacing w:after="0"/>
              <w:rPr>
                <w:sz w:val="17"/>
                <w:szCs w:val="17"/>
                <w:color w:val="auto"/>
              </w:rPr>
            </w:pPr>
          </w:p>
        </w:tc>
        <w:tc>
          <w:tcPr>
            <w:tcW w:w="72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EMEA</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APAC</w:t>
            </w:r>
          </w:p>
        </w:tc>
        <w:tc>
          <w:tcPr>
            <w:tcW w:w="120" w:type="dxa"/>
            <w:vAlign w:val="bottom"/>
          </w:tcPr>
          <w:p>
            <w:pPr>
              <w:spacing w:after="0"/>
              <w:rPr>
                <w:sz w:val="17"/>
                <w:szCs w:val="17"/>
                <w:color w:val="auto"/>
              </w:rPr>
            </w:pPr>
          </w:p>
        </w:tc>
        <w:tc>
          <w:tcPr>
            <w:tcW w:w="10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Consolidated</w:t>
            </w:r>
          </w:p>
        </w:tc>
        <w:tc>
          <w:tcPr>
            <w:tcW w:w="100" w:type="dxa"/>
            <w:vAlign w:val="bottom"/>
          </w:tcPr>
          <w:p>
            <w:pPr>
              <w:spacing w:after="0"/>
              <w:rPr>
                <w:sz w:val="17"/>
                <w:szCs w:val="17"/>
                <w:color w:val="auto"/>
              </w:rPr>
            </w:pPr>
          </w:p>
        </w:tc>
      </w:tr>
      <w:tr>
        <w:trPr>
          <w:trHeight w:val="207"/>
        </w:trPr>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4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05"/>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Cloud subscriptions</w:t>
            </w:r>
          </w:p>
        </w:tc>
        <w:tc>
          <w:tcPr>
            <w:tcW w:w="5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89,565</w:t>
            </w:r>
          </w:p>
        </w:tc>
        <w:tc>
          <w:tcPr>
            <w:tcW w:w="2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22,964</w:t>
            </w:r>
          </w:p>
        </w:tc>
        <w:tc>
          <w:tcPr>
            <w:tcW w:w="340" w:type="dxa"/>
            <w:vAlign w:val="bottom"/>
            <w:gridSpan w:val="2"/>
            <w:shd w:val="clear" w:color="auto" w:fill="CCFFCC"/>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4,594</w:t>
            </w:r>
          </w:p>
        </w:tc>
        <w:tc>
          <w:tcPr>
            <w:tcW w:w="420" w:type="dxa"/>
            <w:vAlign w:val="bottom"/>
            <w:gridSpan w:val="2"/>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117,123</w:t>
            </w:r>
          </w:p>
        </w:tc>
        <w:tc>
          <w:tcPr>
            <w:tcW w:w="3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74,111</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17,207</w:t>
            </w:r>
          </w:p>
        </w:tc>
        <w:tc>
          <w:tcPr>
            <w:tcW w:w="2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420" w:type="dxa"/>
            <w:vAlign w:val="bottom"/>
            <w:gridSpan w:val="2"/>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94,306</w:t>
            </w:r>
          </w:p>
        </w:tc>
        <w:tc>
          <w:tcPr>
            <w:tcW w:w="100" w:type="dxa"/>
            <w:vAlign w:val="bottom"/>
            <w:shd w:val="clear" w:color="auto" w:fill="CCFFCC"/>
          </w:tcPr>
          <w:p>
            <w:pPr>
              <w:spacing w:after="0"/>
              <w:rPr>
                <w:sz w:val="17"/>
                <w:szCs w:val="17"/>
                <w:color w:val="auto"/>
              </w:rPr>
            </w:pPr>
          </w:p>
        </w:tc>
      </w:tr>
      <w:tr>
        <w:trPr>
          <w:trHeight w:val="214"/>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Software license</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1,778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227</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2,234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9,292</w:t>
            </w:r>
          </w:p>
        </w:tc>
        <w:tc>
          <w:tcPr>
            <w:tcW w:w="100" w:type="dxa"/>
            <w:vAlign w:val="bottom"/>
          </w:tcPr>
          <w:p>
            <w:pPr>
              <w:spacing w:after="0"/>
              <w:rPr>
                <w:sz w:val="18"/>
                <w:szCs w:val="18"/>
                <w:color w:val="auto"/>
              </w:rPr>
            </w:pPr>
          </w:p>
        </w:tc>
      </w:tr>
      <w:tr>
        <w:trPr>
          <w:trHeight w:val="204"/>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Maintenance</w:t>
            </w:r>
          </w:p>
        </w:tc>
        <w:tc>
          <w:tcPr>
            <w:tcW w:w="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23,851</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4,571</w:t>
            </w: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2,170</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30,592</w:t>
            </w:r>
          </w:p>
        </w:tc>
        <w:tc>
          <w:tcPr>
            <w:tcW w:w="2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25,915</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4,171</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2,058</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32,144</w:t>
            </w:r>
          </w:p>
        </w:tc>
        <w:tc>
          <w:tcPr>
            <w:tcW w:w="100" w:type="dxa"/>
            <w:vAlign w:val="bottom"/>
            <w:shd w:val="clear" w:color="auto" w:fill="CCFFCC"/>
          </w:tcPr>
          <w:p>
            <w:pPr>
              <w:spacing w:after="0"/>
              <w:rPr>
                <w:sz w:val="17"/>
                <w:szCs w:val="17"/>
                <w:color w:val="auto"/>
              </w:rPr>
            </w:pPr>
          </w:p>
        </w:tc>
      </w:tr>
      <w:tr>
        <w:trPr>
          <w:trHeight w:val="214"/>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Services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93,330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25,388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6,999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125,717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87,497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26,352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7,278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121,127</w:t>
            </w:r>
          </w:p>
        </w:tc>
        <w:tc>
          <w:tcPr>
            <w:tcW w:w="100" w:type="dxa"/>
            <w:vAlign w:val="bottom"/>
          </w:tcPr>
          <w:p>
            <w:pPr>
              <w:spacing w:after="0"/>
              <w:rPr>
                <w:sz w:val="18"/>
                <w:szCs w:val="18"/>
                <w:color w:val="auto"/>
              </w:rPr>
            </w:pPr>
          </w:p>
        </w:tc>
      </w:tr>
      <w:tr>
        <w:trPr>
          <w:trHeight w:val="204"/>
        </w:trPr>
        <w:tc>
          <w:tcPr>
            <w:tcW w:w="248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Hardware</w:t>
            </w:r>
          </w:p>
        </w:tc>
        <w:tc>
          <w:tcPr>
            <w:tcW w:w="4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6,026</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511</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12</w:t>
            </w:r>
          </w:p>
        </w:tc>
        <w:tc>
          <w:tcPr>
            <w:tcW w:w="12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6,549</w:t>
            </w:r>
          </w:p>
        </w:tc>
        <w:tc>
          <w:tcPr>
            <w:tcW w:w="2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5,642</w:t>
            </w: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5,918</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206"/>
        </w:trPr>
        <w:tc>
          <w:tcPr>
            <w:tcW w:w="248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Total revenue</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214,550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53,663</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14,002</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282,215</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194,615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55,542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12,630</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262,787</w:t>
            </w:r>
          </w:p>
        </w:tc>
        <w:tc>
          <w:tcPr>
            <w:tcW w:w="100" w:type="dxa"/>
            <w:vAlign w:val="bottom"/>
          </w:tcPr>
          <w:p>
            <w:pPr>
              <w:spacing w:after="0"/>
              <w:rPr>
                <w:sz w:val="17"/>
                <w:szCs w:val="17"/>
                <w:color w:val="auto"/>
              </w:rPr>
            </w:pPr>
          </w:p>
        </w:tc>
      </w:tr>
      <w:tr>
        <w:trPr>
          <w:trHeight w:val="433"/>
        </w:trPr>
        <w:tc>
          <w:tcPr>
            <w:tcW w:w="2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Costs and Expenses:</w:t>
            </w: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5"/>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Cost of revenue</w:t>
            </w:r>
          </w:p>
        </w:tc>
        <w:tc>
          <w:tcPr>
            <w:tcW w:w="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92,951</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27,324</w:t>
            </w: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6,366</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126,641</w:t>
            </w:r>
          </w:p>
        </w:tc>
        <w:tc>
          <w:tcPr>
            <w:tcW w:w="2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82,802</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26,121</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5,644</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114,567</w:t>
            </w:r>
          </w:p>
        </w:tc>
        <w:tc>
          <w:tcPr>
            <w:tcW w:w="100" w:type="dxa"/>
            <w:vAlign w:val="bottom"/>
            <w:shd w:val="clear" w:color="auto" w:fill="CCFFCC"/>
          </w:tcPr>
          <w:p>
            <w:pPr>
              <w:spacing w:after="0"/>
              <w:rPr>
                <w:sz w:val="17"/>
                <w:szCs w:val="17"/>
                <w:color w:val="auto"/>
              </w:rPr>
            </w:pPr>
          </w:p>
        </w:tc>
      </w:tr>
      <w:tr>
        <w:trPr>
          <w:trHeight w:val="214"/>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Operating expenses</w:t>
            </w: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81,009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1,341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88,804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73,713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80,578</w:t>
            </w:r>
          </w:p>
        </w:tc>
        <w:tc>
          <w:tcPr>
            <w:tcW w:w="100" w:type="dxa"/>
            <w:vAlign w:val="bottom"/>
          </w:tcPr>
          <w:p>
            <w:pPr>
              <w:spacing w:after="0"/>
              <w:rPr>
                <w:sz w:val="18"/>
                <w:szCs w:val="18"/>
                <w:color w:val="auto"/>
              </w:rPr>
            </w:pPr>
          </w:p>
        </w:tc>
      </w:tr>
      <w:tr>
        <w:trPr>
          <w:trHeight w:val="204"/>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46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1,585</w:t>
            </w:r>
          </w:p>
        </w:tc>
        <w:tc>
          <w:tcPr>
            <w:tcW w:w="12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215</w:t>
            </w:r>
          </w:p>
        </w:tc>
        <w:tc>
          <w:tcPr>
            <w:tcW w:w="120" w:type="dxa"/>
            <w:vAlign w:val="bottom"/>
            <w:shd w:val="clear" w:color="auto" w:fill="CCFFCC"/>
          </w:tcPr>
          <w:p>
            <w:pPr>
              <w:spacing w:after="0"/>
              <w:rPr>
                <w:sz w:val="17"/>
                <w:szCs w:val="17"/>
                <w:color w:val="auto"/>
              </w:rPr>
            </w:pPr>
          </w:p>
        </w:tc>
        <w:tc>
          <w:tcPr>
            <w:tcW w:w="220" w:type="dxa"/>
            <w:vAlign w:val="bottom"/>
            <w:shd w:val="clear" w:color="auto" w:fill="CCFFCC"/>
          </w:tcPr>
          <w:p>
            <w:pPr>
              <w:spacing w:after="0"/>
              <w:rPr>
                <w:sz w:val="17"/>
                <w:szCs w:val="17"/>
                <w:color w:val="auto"/>
              </w:rPr>
            </w:pPr>
          </w:p>
        </w:tc>
        <w:tc>
          <w:tcPr>
            <w:tcW w:w="6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33</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1,833</w:t>
            </w:r>
          </w:p>
        </w:tc>
        <w:tc>
          <w:tcPr>
            <w:tcW w:w="240" w:type="dxa"/>
            <w:vAlign w:val="bottom"/>
            <w:shd w:val="clear" w:color="auto" w:fill="CCFFCC"/>
          </w:tcPr>
          <w:p>
            <w:pPr>
              <w:spacing w:after="0"/>
              <w:rPr>
                <w:sz w:val="17"/>
                <w:szCs w:val="17"/>
                <w:color w:val="auto"/>
              </w:rPr>
            </w:pPr>
          </w:p>
        </w:tc>
        <w:tc>
          <w:tcPr>
            <w:tcW w:w="80" w:type="dxa"/>
            <w:vAlign w:val="bottom"/>
            <w:shd w:val="clear" w:color="auto" w:fill="CCFFCC"/>
          </w:tcPr>
          <w:p>
            <w:pPr>
              <w:spacing w:after="0"/>
              <w:rPr>
                <w:sz w:val="17"/>
                <w:szCs w:val="17"/>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1,309</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20" w:type="dxa"/>
            <w:vAlign w:val="bottom"/>
            <w:shd w:val="clear" w:color="auto" w:fill="CCFFCC"/>
          </w:tcPr>
          <w:p>
            <w:pPr>
              <w:spacing w:after="0"/>
              <w:rPr>
                <w:sz w:val="17"/>
                <w:szCs w:val="17"/>
                <w:color w:val="auto"/>
              </w:rPr>
            </w:pPr>
          </w:p>
        </w:tc>
        <w:tc>
          <w:tcPr>
            <w:tcW w:w="300" w:type="dxa"/>
            <w:vAlign w:val="bottom"/>
            <w:shd w:val="clear" w:color="auto" w:fill="CCFFCC"/>
          </w:tcPr>
          <w:p>
            <w:pPr>
              <w:spacing w:after="0"/>
              <w:rPr>
                <w:sz w:val="17"/>
                <w:szCs w:val="17"/>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1,541</w:t>
            </w:r>
          </w:p>
        </w:tc>
        <w:tc>
          <w:tcPr>
            <w:tcW w:w="100" w:type="dxa"/>
            <w:vAlign w:val="bottom"/>
            <w:shd w:val="clear" w:color="auto" w:fill="CCFFCC"/>
          </w:tcPr>
          <w:p>
            <w:pPr>
              <w:spacing w:after="0"/>
              <w:rPr>
                <w:sz w:val="17"/>
                <w:szCs w:val="17"/>
                <w:color w:val="auto"/>
              </w:rPr>
            </w:pPr>
          </w:p>
        </w:tc>
      </w:tr>
      <w:tr>
        <w:trPr>
          <w:trHeight w:val="203"/>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Restructuring expense</w:t>
            </w:r>
          </w:p>
        </w:tc>
        <w:tc>
          <w:tcPr>
            <w:tcW w:w="46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24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2,929</w:t>
            </w:r>
          </w:p>
        </w:tc>
        <w:tc>
          <w:tcPr>
            <w:tcW w:w="100" w:type="dxa"/>
            <w:vAlign w:val="bottom"/>
          </w:tcPr>
          <w:p>
            <w:pPr>
              <w:spacing w:after="0"/>
              <w:rPr>
                <w:sz w:val="17"/>
                <w:szCs w:val="17"/>
                <w:color w:val="auto"/>
              </w:rPr>
            </w:pPr>
          </w:p>
        </w:tc>
      </w:tr>
      <w:tr>
        <w:trPr>
          <w:trHeight w:val="196"/>
        </w:trPr>
        <w:tc>
          <w:tcPr>
            <w:tcW w:w="2480" w:type="dxa"/>
            <w:vAlign w:val="bottom"/>
            <w:tcBorders>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46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175,545</w:t>
            </w:r>
          </w:p>
        </w:tc>
        <w:tc>
          <w:tcPr>
            <w:tcW w:w="12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33,993</w:t>
            </w:r>
          </w:p>
        </w:tc>
        <w:tc>
          <w:tcPr>
            <w:tcW w:w="120" w:type="dxa"/>
            <w:vAlign w:val="bottom"/>
            <w:tcBorders>
              <w:bottom w:val="single" w:sz="8" w:color="CCFFCC"/>
            </w:tcBorders>
            <w:shd w:val="clear" w:color="auto" w:fill="CCFFCC"/>
          </w:tcPr>
          <w:p>
            <w:pPr>
              <w:spacing w:after="0"/>
              <w:rPr>
                <w:sz w:val="17"/>
                <w:szCs w:val="17"/>
                <w:color w:val="auto"/>
              </w:rPr>
            </w:pPr>
          </w:p>
        </w:tc>
        <w:tc>
          <w:tcPr>
            <w:tcW w:w="220" w:type="dxa"/>
            <w:vAlign w:val="bottom"/>
            <w:tcBorders>
              <w:bottom w:val="single" w:sz="8" w:color="auto"/>
            </w:tcBorders>
            <w:shd w:val="clear" w:color="auto" w:fill="CCFFCC"/>
          </w:tcPr>
          <w:p>
            <w:pPr>
              <w:spacing w:after="0"/>
              <w:rPr>
                <w:sz w:val="17"/>
                <w:szCs w:val="17"/>
                <w:color w:val="auto"/>
              </w:rPr>
            </w:pPr>
          </w:p>
        </w:tc>
        <w:tc>
          <w:tcPr>
            <w:tcW w:w="6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7,740</w:t>
            </w:r>
          </w:p>
        </w:tc>
        <w:tc>
          <w:tcPr>
            <w:tcW w:w="12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217,278</w:t>
            </w:r>
          </w:p>
        </w:tc>
        <w:tc>
          <w:tcPr>
            <w:tcW w:w="240" w:type="dxa"/>
            <w:vAlign w:val="bottom"/>
            <w:tcBorders>
              <w:bottom w:val="single" w:sz="8" w:color="CCFFCC"/>
            </w:tcBorders>
            <w:shd w:val="clear" w:color="auto" w:fill="CCFFCC"/>
          </w:tcPr>
          <w:p>
            <w:pPr>
              <w:spacing w:after="0"/>
              <w:rPr>
                <w:sz w:val="17"/>
                <w:szCs w:val="17"/>
                <w:color w:val="auto"/>
              </w:rPr>
            </w:pPr>
          </w:p>
        </w:tc>
        <w:tc>
          <w:tcPr>
            <w:tcW w:w="80" w:type="dxa"/>
            <w:vAlign w:val="bottom"/>
            <w:tcBorders>
              <w:bottom w:val="single" w:sz="8" w:color="auto"/>
            </w:tcBorders>
            <w:shd w:val="clear" w:color="auto" w:fill="CCFFCC"/>
          </w:tcPr>
          <w:p>
            <w:pPr>
              <w:spacing w:after="0"/>
              <w:rPr>
                <w:sz w:val="17"/>
                <w:szCs w:val="17"/>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160,753</w:t>
            </w:r>
          </w:p>
        </w:tc>
        <w:tc>
          <w:tcPr>
            <w:tcW w:w="100" w:type="dxa"/>
            <w:vAlign w:val="bottom"/>
            <w:tcBorders>
              <w:bottom w:val="single" w:sz="8" w:color="CCFFCC"/>
            </w:tcBorders>
            <w:shd w:val="clear" w:color="auto" w:fill="CCFFCC"/>
          </w:tcPr>
          <w:p>
            <w:pPr>
              <w:spacing w:after="0"/>
              <w:rPr>
                <w:sz w:val="17"/>
                <w:szCs w:val="17"/>
                <w:color w:val="auto"/>
              </w:rPr>
            </w:pPr>
          </w:p>
        </w:tc>
        <w:tc>
          <w:tcPr>
            <w:tcW w:w="120" w:type="dxa"/>
            <w:vAlign w:val="bottom"/>
            <w:tcBorders>
              <w:bottom w:val="single" w:sz="8" w:color="auto"/>
            </w:tcBorders>
            <w:shd w:val="clear" w:color="auto" w:fill="CCFFCC"/>
          </w:tcPr>
          <w:p>
            <w:pPr>
              <w:spacing w:after="0"/>
              <w:rPr>
                <w:sz w:val="17"/>
                <w:szCs w:val="17"/>
                <w:color w:val="auto"/>
              </w:rPr>
            </w:pPr>
          </w:p>
        </w:tc>
        <w:tc>
          <w:tcPr>
            <w:tcW w:w="7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31,839</w:t>
            </w:r>
          </w:p>
        </w:tc>
        <w:tc>
          <w:tcPr>
            <w:tcW w:w="100" w:type="dxa"/>
            <w:vAlign w:val="bottom"/>
            <w:tcBorders>
              <w:bottom w:val="single" w:sz="8" w:color="CCFFCC"/>
            </w:tcBorders>
            <w:shd w:val="clear" w:color="auto" w:fill="CCFFCC"/>
          </w:tcPr>
          <w:p>
            <w:pPr>
              <w:spacing w:after="0"/>
              <w:rPr>
                <w:sz w:val="17"/>
                <w:szCs w:val="17"/>
                <w:color w:val="auto"/>
              </w:rPr>
            </w:pPr>
          </w:p>
        </w:tc>
        <w:tc>
          <w:tcPr>
            <w:tcW w:w="140" w:type="dxa"/>
            <w:vAlign w:val="bottom"/>
            <w:tcBorders>
              <w:bottom w:val="single" w:sz="8" w:color="auto"/>
            </w:tcBorders>
            <w:shd w:val="clear" w:color="auto" w:fill="CCFFCC"/>
          </w:tcPr>
          <w:p>
            <w:pPr>
              <w:spacing w:after="0"/>
              <w:rPr>
                <w:sz w:val="17"/>
                <w:szCs w:val="17"/>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7,023</w:t>
            </w:r>
          </w:p>
        </w:tc>
        <w:tc>
          <w:tcPr>
            <w:tcW w:w="120" w:type="dxa"/>
            <w:vAlign w:val="bottom"/>
            <w:tcBorders>
              <w:bottom w:val="single" w:sz="8" w:color="CCFFCC"/>
            </w:tcBorders>
            <w:shd w:val="clear" w:color="auto" w:fill="CCFFCC"/>
          </w:tcPr>
          <w:p>
            <w:pPr>
              <w:spacing w:after="0"/>
              <w:rPr>
                <w:sz w:val="17"/>
                <w:szCs w:val="17"/>
                <w:color w:val="auto"/>
              </w:rPr>
            </w:pPr>
          </w:p>
        </w:tc>
        <w:tc>
          <w:tcPr>
            <w:tcW w:w="300" w:type="dxa"/>
            <w:vAlign w:val="bottom"/>
            <w:tcBorders>
              <w:bottom w:val="single" w:sz="8" w:color="auto"/>
            </w:tcBorders>
            <w:shd w:val="clear" w:color="auto" w:fill="CCFFCC"/>
          </w:tcPr>
          <w:p>
            <w:pPr>
              <w:spacing w:after="0"/>
              <w:rPr>
                <w:sz w:val="17"/>
                <w:szCs w:val="17"/>
                <w:color w:val="auto"/>
              </w:rPr>
            </w:pPr>
          </w:p>
        </w:tc>
        <w:tc>
          <w:tcPr>
            <w:tcW w:w="7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199,615</w:t>
            </w:r>
          </w:p>
        </w:tc>
        <w:tc>
          <w:tcPr>
            <w:tcW w:w="100" w:type="dxa"/>
            <w:vAlign w:val="bottom"/>
            <w:tcBorders>
              <w:bottom w:val="single" w:sz="8" w:color="CCFFCC"/>
            </w:tcBorders>
            <w:shd w:val="clear" w:color="auto" w:fill="CCFFCC"/>
          </w:tcPr>
          <w:p>
            <w:pPr>
              <w:spacing w:after="0"/>
              <w:rPr>
                <w:sz w:val="17"/>
                <w:szCs w:val="17"/>
                <w:color w:val="auto"/>
              </w:rPr>
            </w:pPr>
          </w:p>
        </w:tc>
      </w:tr>
      <w:tr>
        <w:trPr>
          <w:trHeight w:val="196"/>
        </w:trPr>
        <w:tc>
          <w:tcPr>
            <w:tcW w:w="2480" w:type="dxa"/>
            <w:vAlign w:val="bottom"/>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39,005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19,670</w:t>
            </w:r>
          </w:p>
        </w:tc>
        <w:tc>
          <w:tcPr>
            <w:tcW w:w="34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6,262</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64,937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33,862</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23,703</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5,607</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63,172</w:t>
            </w:r>
          </w:p>
        </w:tc>
        <w:tc>
          <w:tcPr>
            <w:tcW w:w="100" w:type="dxa"/>
            <w:vAlign w:val="bottom"/>
          </w:tcPr>
          <w:p>
            <w:pPr>
              <w:spacing w:after="0"/>
              <w:rPr>
                <w:sz w:val="17"/>
                <w:szCs w:val="17"/>
                <w:color w:val="auto"/>
              </w:rPr>
            </w:pPr>
          </w:p>
        </w:tc>
      </w:tr>
      <w:tr>
        <w:trPr>
          <w:trHeight w:val="20"/>
        </w:trPr>
        <w:tc>
          <w:tcPr>
            <w:tcW w:w="24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2480" w:type="dxa"/>
            <w:vAlign w:val="bottom"/>
            <w:shd w:val="clear" w:color="auto" w:fill="CCFFCC"/>
          </w:tcPr>
          <w:p>
            <w:pPr>
              <w:ind w:left="60"/>
              <w:spacing w:after="0"/>
              <w:rPr>
                <w:sz w:val="20"/>
                <w:szCs w:val="20"/>
                <w:color w:val="auto"/>
              </w:rPr>
            </w:pPr>
            <w:r>
              <w:rPr>
                <w:rFonts w:ascii="Times New Roman" w:cs="Times New Roman" w:eastAsia="Times New Roman" w:hAnsi="Times New Roman"/>
                <w:sz w:val="16"/>
                <w:szCs w:val="16"/>
                <w:color w:val="auto"/>
              </w:rPr>
              <w:t>Interest income</w:t>
            </w:r>
          </w:p>
        </w:tc>
        <w:tc>
          <w:tcPr>
            <w:tcW w:w="46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8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220" w:type="dxa"/>
            <w:vAlign w:val="bottom"/>
            <w:shd w:val="clear" w:color="auto" w:fill="CCFFCC"/>
          </w:tcPr>
          <w:p>
            <w:pPr>
              <w:spacing w:after="0"/>
              <w:rPr>
                <w:sz w:val="15"/>
                <w:szCs w:val="15"/>
                <w:color w:val="auto"/>
              </w:rPr>
            </w:pPr>
          </w:p>
        </w:tc>
        <w:tc>
          <w:tcPr>
            <w:tcW w:w="6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951</w:t>
            </w:r>
          </w:p>
        </w:tc>
        <w:tc>
          <w:tcPr>
            <w:tcW w:w="240" w:type="dxa"/>
            <w:vAlign w:val="bottom"/>
            <w:shd w:val="clear" w:color="auto" w:fill="CCFFCC"/>
          </w:tcPr>
          <w:p>
            <w:pPr>
              <w:spacing w:after="0"/>
              <w:rPr>
                <w:sz w:val="15"/>
                <w:szCs w:val="15"/>
                <w:color w:val="auto"/>
              </w:rPr>
            </w:pPr>
          </w:p>
        </w:tc>
        <w:tc>
          <w:tcPr>
            <w:tcW w:w="80" w:type="dxa"/>
            <w:vAlign w:val="bottom"/>
            <w:shd w:val="clear" w:color="auto" w:fill="CCFFCC"/>
          </w:tcPr>
          <w:p>
            <w:pPr>
              <w:spacing w:after="0"/>
              <w:rPr>
                <w:sz w:val="15"/>
                <w:szCs w:val="15"/>
                <w:color w:val="auto"/>
              </w:rPr>
            </w:pPr>
          </w:p>
        </w:tc>
        <w:tc>
          <w:tcPr>
            <w:tcW w:w="76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7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1,101</w:t>
            </w:r>
          </w:p>
        </w:tc>
        <w:tc>
          <w:tcPr>
            <w:tcW w:w="100" w:type="dxa"/>
            <w:vAlign w:val="bottom"/>
            <w:shd w:val="clear" w:color="auto" w:fill="CCFFCC"/>
          </w:tcPr>
          <w:p>
            <w:pPr>
              <w:spacing w:after="0"/>
              <w:rPr>
                <w:sz w:val="15"/>
                <w:szCs w:val="15"/>
                <w:color w:val="auto"/>
              </w:rPr>
            </w:pPr>
          </w:p>
        </w:tc>
      </w:tr>
      <w:tr>
        <w:trPr>
          <w:trHeight w:val="203"/>
        </w:trPr>
        <w:tc>
          <w:tcPr>
            <w:tcW w:w="248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Other income (loss), net</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3,386</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tcPr>
          <w:p>
            <w:pPr>
              <w:spacing w:after="0"/>
              <w:rPr>
                <w:sz w:val="17"/>
                <w:szCs w:val="17"/>
                <w:color w:val="auto"/>
              </w:rPr>
            </w:pPr>
          </w:p>
        </w:tc>
      </w:tr>
      <w:tr>
        <w:trPr>
          <w:trHeight w:val="216"/>
        </w:trPr>
        <w:tc>
          <w:tcPr>
            <w:tcW w:w="2480" w:type="dxa"/>
            <w:vAlign w:val="bottom"/>
            <w:shd w:val="clear" w:color="auto" w:fill="CCFFCC"/>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46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66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b w:val="1"/>
                <w:bCs w:val="1"/>
                <w:color w:val="auto"/>
              </w:rPr>
              <w:t>69,274</w:t>
            </w:r>
          </w:p>
        </w:tc>
        <w:tc>
          <w:tcPr>
            <w:tcW w:w="240" w:type="dxa"/>
            <w:vAlign w:val="bottom"/>
            <w:shd w:val="clear" w:color="auto" w:fill="CCFFCC"/>
          </w:tcPr>
          <w:p>
            <w:pPr>
              <w:spacing w:after="0"/>
              <w:rPr>
                <w:sz w:val="18"/>
                <w:szCs w:val="18"/>
                <w:color w:val="auto"/>
              </w:rPr>
            </w:pPr>
          </w:p>
        </w:tc>
        <w:tc>
          <w:tcPr>
            <w:tcW w:w="8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00" w:type="dxa"/>
            <w:vAlign w:val="bottom"/>
            <w:shd w:val="clear" w:color="auto" w:fill="CCFFCC"/>
          </w:tcPr>
          <w:p>
            <w:pPr>
              <w:spacing w:after="0"/>
              <w:rPr>
                <w:sz w:val="18"/>
                <w:szCs w:val="18"/>
                <w:color w:val="auto"/>
              </w:rPr>
            </w:pPr>
          </w:p>
        </w:tc>
        <w:tc>
          <w:tcPr>
            <w:tcW w:w="420" w:type="dxa"/>
            <w:vAlign w:val="bottom"/>
            <w:gridSpan w:val="2"/>
            <w:shd w:val="clear" w:color="auto" w:fill="CCFFC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6"/>
                <w:szCs w:val="16"/>
                <w:color w:val="auto"/>
              </w:rPr>
              <w:t>64,509</w:t>
            </w:r>
          </w:p>
        </w:tc>
        <w:tc>
          <w:tcPr>
            <w:tcW w:w="100" w:type="dxa"/>
            <w:vAlign w:val="bottom"/>
            <w:shd w:val="clear" w:color="auto" w:fill="CCFFCC"/>
          </w:tcPr>
          <w:p>
            <w:pPr>
              <w:spacing w:after="0"/>
              <w:rPr>
                <w:sz w:val="18"/>
                <w:szCs w:val="18"/>
                <w:color w:val="auto"/>
              </w:rPr>
            </w:pPr>
          </w:p>
        </w:tc>
      </w:tr>
      <w:tr>
        <w:trPr>
          <w:trHeight w:val="20"/>
        </w:trPr>
        <w:tc>
          <w:tcPr>
            <w:tcW w:w="2480" w:type="dxa"/>
            <w:vAlign w:val="bottom"/>
            <w:tcBorders>
              <w:top w:val="single" w:sz="8" w:color="CCFFCC"/>
            </w:tcBorders>
            <w:shd w:val="clear" w:color="auto" w:fill="CCFFCC"/>
          </w:tcPr>
          <w:p>
            <w:pPr>
              <w:spacing w:after="0" w:line="20" w:lineRule="exact"/>
              <w:rPr>
                <w:sz w:val="1"/>
                <w:szCs w:val="1"/>
                <w:color w:val="auto"/>
              </w:rPr>
            </w:pPr>
          </w:p>
        </w:tc>
        <w:tc>
          <w:tcPr>
            <w:tcW w:w="46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66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76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140" w:type="dxa"/>
            <w:vAlign w:val="bottom"/>
            <w:tcBorders>
              <w:top w:val="single" w:sz="8" w:color="CCFFCC"/>
            </w:tcBorders>
            <w:shd w:val="clear" w:color="auto" w:fill="CCFFCC"/>
          </w:tcPr>
          <w:p>
            <w:pPr>
              <w:spacing w:after="0" w:line="20" w:lineRule="exact"/>
              <w:rPr>
                <w:sz w:val="1"/>
                <w:szCs w:val="1"/>
                <w:color w:val="auto"/>
              </w:rPr>
            </w:pPr>
          </w:p>
        </w:tc>
        <w:tc>
          <w:tcPr>
            <w:tcW w:w="70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-1662430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-1662430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-1662430</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-1662430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-1662430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-1662430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-1662430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-1662430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-582295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3039745</wp:posOffset>
            </wp:positionH>
            <wp:positionV relativeFrom="paragraph">
              <wp:posOffset>-582295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-582295</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-582295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-582295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-582295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6314440</wp:posOffset>
            </wp:positionH>
            <wp:positionV relativeFrom="paragraph">
              <wp:posOffset>-582295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-582295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160" w:firstLine="255"/>
        <w:spacing w:after="0" w:line="282" w:lineRule="auto"/>
        <w:rPr>
          <w:sz w:val="20"/>
          <w:szCs w:val="20"/>
          <w:color w:val="auto"/>
        </w:rPr>
      </w:pPr>
      <w:r>
        <w:rPr>
          <w:rFonts w:ascii="Times New Roman" w:cs="Times New Roman" w:eastAsia="Times New Roman" w:hAnsi="Times New Roman"/>
          <w:sz w:val="18"/>
          <w:szCs w:val="18"/>
          <w:color w:val="auto"/>
        </w:rPr>
        <w:t>In the following table, we present goodwill, long-lived assets, and total assets by reportable segment as of March 31, 2026 and December 31, 2025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7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As of March 31, 2026</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gridSpan w:val="5"/>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As of December 31, 2025</w:t>
            </w: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1740" w:type="dxa"/>
            <w:vAlign w:val="bottom"/>
          </w:tcPr>
          <w:p>
            <w:pPr>
              <w:spacing w:after="0"/>
              <w:rPr>
                <w:sz w:val="18"/>
                <w:szCs w:val="18"/>
                <w:color w:val="auto"/>
              </w:rPr>
            </w:pPr>
          </w:p>
        </w:tc>
        <w:tc>
          <w:tcPr>
            <w:tcW w:w="92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EMEA</w:t>
            </w: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APAC</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Consolidated</w:t>
            </w:r>
          </w:p>
        </w:tc>
        <w:tc>
          <w:tcPr>
            <w:tcW w:w="220" w:type="dxa"/>
            <w:vAlign w:val="bottom"/>
          </w:tcPr>
          <w:p>
            <w:pPr>
              <w:spacing w:after="0"/>
              <w:rPr>
                <w:sz w:val="18"/>
                <w:szCs w:val="18"/>
                <w:color w:val="auto"/>
              </w:rPr>
            </w:pPr>
          </w:p>
        </w:tc>
        <w:tc>
          <w:tcPr>
            <w:tcW w:w="9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EMEA</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APAC</w:t>
            </w:r>
          </w:p>
        </w:tc>
        <w:tc>
          <w:tcPr>
            <w:tcW w:w="220" w:type="dxa"/>
            <w:vAlign w:val="bottom"/>
          </w:tcPr>
          <w:p>
            <w:pPr>
              <w:spacing w:after="0"/>
              <w:rPr>
                <w:sz w:val="18"/>
                <w:szCs w:val="18"/>
                <w:color w:val="auto"/>
              </w:rPr>
            </w:pPr>
          </w:p>
        </w:tc>
        <w:tc>
          <w:tcPr>
            <w:tcW w:w="1200" w:type="dxa"/>
            <w:vAlign w:val="bottom"/>
            <w:tcBorders>
              <w:bottom w:val="single" w:sz="8" w:color="auto"/>
            </w:tcBorders>
            <w:gridSpan w:val="2"/>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100" w:type="dxa"/>
            <w:vAlign w:val="bottom"/>
          </w:tcPr>
          <w:p>
            <w:pPr>
              <w:spacing w:after="0"/>
              <w:rPr>
                <w:sz w:val="18"/>
                <w:szCs w:val="18"/>
                <w:color w:val="auto"/>
              </w:rPr>
            </w:pPr>
          </w:p>
        </w:tc>
      </w:tr>
      <w:tr>
        <w:trPr>
          <w:trHeight w:val="210"/>
        </w:trPr>
        <w:tc>
          <w:tcPr>
            <w:tcW w:w="1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shd w:val="clear" w:color="auto" w:fill="CCFFCC"/>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54,766</w:t>
            </w:r>
          </w:p>
        </w:tc>
        <w:tc>
          <w:tcPr>
            <w:tcW w:w="3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5,512</w:t>
            </w:r>
          </w:p>
        </w:tc>
        <w:tc>
          <w:tcPr>
            <w:tcW w:w="3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1,963</w:t>
            </w:r>
          </w:p>
        </w:tc>
        <w:tc>
          <w:tcPr>
            <w:tcW w:w="32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62,241</w:t>
            </w:r>
          </w:p>
        </w:tc>
        <w:tc>
          <w:tcPr>
            <w:tcW w:w="420" w:type="dxa"/>
            <w:vAlign w:val="bottom"/>
            <w:gridSpan w:val="2"/>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54,766</w:t>
            </w:r>
          </w:p>
        </w:tc>
        <w:tc>
          <w:tcPr>
            <w:tcW w:w="34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5,515</w:t>
            </w:r>
          </w:p>
        </w:tc>
        <w:tc>
          <w:tcPr>
            <w:tcW w:w="36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1,963</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62,244</w:t>
            </w:r>
          </w:p>
        </w:tc>
        <w:tc>
          <w:tcPr>
            <w:tcW w:w="100" w:type="dxa"/>
            <w:vAlign w:val="bottom"/>
            <w:shd w:val="clear" w:color="auto" w:fill="CCFFCC"/>
          </w:tcPr>
          <w:p>
            <w:pPr>
              <w:spacing w:after="0"/>
              <w:rPr>
                <w:sz w:val="18"/>
                <w:szCs w:val="18"/>
                <w:color w:val="auto"/>
              </w:rPr>
            </w:pPr>
          </w:p>
        </w:tc>
      </w:tr>
      <w:tr>
        <w:trPr>
          <w:trHeight w:val="216"/>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Long lived assets</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103,999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12,328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2,391</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118,718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104,217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117,906</w:t>
            </w:r>
          </w:p>
        </w:tc>
        <w:tc>
          <w:tcPr>
            <w:tcW w:w="100" w:type="dxa"/>
            <w:vAlign w:val="bottom"/>
          </w:tcPr>
          <w:p>
            <w:pPr>
              <w:spacing w:after="0"/>
              <w:rPr>
                <w:sz w:val="18"/>
                <w:szCs w:val="18"/>
                <w:color w:val="auto"/>
              </w:rPr>
            </w:pPr>
          </w:p>
        </w:tc>
      </w:tr>
      <w:tr>
        <w:trPr>
          <w:trHeight w:val="216"/>
        </w:trPr>
        <w:tc>
          <w:tcPr>
            <w:tcW w:w="1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shd w:val="clear" w:color="auto" w:fill="CCFFCC"/>
          </w:tcPr>
          <w:p>
            <w:pPr>
              <w:spacing w:after="0"/>
              <w:rPr>
                <w:sz w:val="18"/>
                <w:szCs w:val="18"/>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579,210</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134,428</w:t>
            </w:r>
          </w:p>
        </w:tc>
        <w:tc>
          <w:tcPr>
            <w:tcW w:w="24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26,900</w:t>
            </w:r>
          </w:p>
        </w:tc>
        <w:tc>
          <w:tcPr>
            <w:tcW w:w="2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740,538</w:t>
            </w:r>
          </w:p>
        </w:tc>
        <w:tc>
          <w:tcPr>
            <w:tcW w:w="22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696,019</w:t>
            </w:r>
          </w:p>
        </w:tc>
        <w:tc>
          <w:tcPr>
            <w:tcW w:w="2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116,219</w:t>
            </w:r>
          </w:p>
        </w:tc>
        <w:tc>
          <w:tcPr>
            <w:tcW w:w="2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27,150</w:t>
            </w:r>
          </w:p>
        </w:tc>
        <w:tc>
          <w:tcPr>
            <w:tcW w:w="220" w:type="dxa"/>
            <w:vAlign w:val="bottom"/>
            <w:shd w:val="clear" w:color="auto" w:fill="CCFFCC"/>
          </w:tcPr>
          <w:p>
            <w:pPr>
              <w:spacing w:after="0"/>
              <w:rPr>
                <w:sz w:val="18"/>
                <w:szCs w:val="18"/>
                <w:color w:val="auto"/>
              </w:rPr>
            </w:pPr>
          </w:p>
        </w:tc>
        <w:tc>
          <w:tcPr>
            <w:tcW w:w="340" w:type="dxa"/>
            <w:vAlign w:val="bottom"/>
            <w:shd w:val="clear" w:color="auto" w:fill="CCFFCC"/>
          </w:tcPr>
          <w:p>
            <w:pPr>
              <w:spacing w:after="0"/>
              <w:rPr>
                <w:sz w:val="18"/>
                <w:szCs w:val="18"/>
                <w:color w:val="auto"/>
              </w:rPr>
            </w:pP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839,388</w:t>
            </w:r>
          </w:p>
        </w:tc>
        <w:tc>
          <w:tcPr>
            <w:tcW w:w="100" w:type="dxa"/>
            <w:vAlign w:val="bottom"/>
            <w:shd w:val="clear" w:color="auto" w:fill="CCFFCC"/>
          </w:tcPr>
          <w:p>
            <w:pPr>
              <w:spacing w:after="0"/>
              <w:rPr>
                <w:sz w:val="18"/>
                <w:szCs w:val="18"/>
                <w:color w:val="auto"/>
              </w:rPr>
            </w:pPr>
          </w:p>
        </w:tc>
      </w:tr>
    </w:tbl>
    <w:p>
      <w:pPr>
        <w:spacing w:after="0" w:line="198"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derived revenue from sales to customers outside the United States of approximately $96.8 million and $91.5 million for the three months ended March 31, 2026 and 2025, respectively. Our remaining revenue was derived from domestic sales.</w:t>
      </w:r>
    </w:p>
    <w:p>
      <w:pPr>
        <w:spacing w:after="0" w:line="54"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Cloud subscriptions revenue primarily relates to our Manhattan Active omnichannel, warehouse management solutions, and transportation management solutions for the three months ended March 31, 2026. The majority of our software license revenue (over 95%) relates to our warehouse management product group for the three months ended March 31, 2026.</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3" w:name="page14"/>
    <w:bookmarkEnd w:id="1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condensed consolidated financial statements for the three months ended March 31, 2026 and 2025, including the notes to those statements, included elsewhere in this quarterly report. We also recommend the following discussion be read in conjunction with management’s discussion and analysis and consolidated financial statements included in our annual report on Form 10-K for the year ended December 31, 2025. Statements in the following discussion that are not statements of historical fact are “forward-looking statements.” Actual results may differ materially from the results predicted in such forward-looking statements, for a variety of factors. See “Forward-Looking Statements” below.</w:t>
      </w:r>
    </w:p>
    <w:p>
      <w:pPr>
        <w:spacing w:after="0" w:line="7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References in this filing to the “Company,” “Manhattan,” “Manhattan Associates,” “we,” “our,” and “us” refer to Manhattan Associates, Inc., our predecessors, and our wholly owned and consolidated subsidiaries.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We develop, sell, deploy, service and maintain software solutions designed to manage supply chains, inventory, and omnichannel operations for retailers, wholesalers, manufacturers, logistics providers, government agencies, and other organizations. Our customers include many of the world’s premier and most profitable brands. Our proprietary applications architecture is highly differentiated among enterprise application providers, particularly within the Omni Channel and Supply Chain categories, through which we deliver a versionless yet highly extensible experience for our customers. With AI-driven insights and zero downtime updates, we deliver innovation seamlessly into customer environments without the need for planned maintenance windows.</w:t>
      </w:r>
    </w:p>
    <w:p>
      <w:pPr>
        <w:spacing w:after="0" w:line="7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Our business model is singularly focused on the development and implementation of complex commerce enablement software solutions that are designed to optimize supply chains, and retail store operations including point-of-sale (POS) effectiveness and efficiency for our customers.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five principal sources of revenue:</w:t>
      </w:r>
    </w:p>
    <w:p>
      <w:pPr>
        <w:spacing w:after="0" w:line="117" w:lineRule="exact"/>
        <w:rPr>
          <w:sz w:val="20"/>
          <w:szCs w:val="20"/>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subscriptions, including software as a service (SaaS) and hosting of software;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of our software;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support services and software enhancements (collectively, “maintenance”) related to software licenses;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services, including solutions planning and implementation, related consulting, customer training, and reimbursements from customers for out-of-pocket expenses (collectively, “services”);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hardware sales.</w:t>
      </w:r>
    </w:p>
    <w:p>
      <w:pPr>
        <w:spacing w:after="0" w:line="117"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we generated $282.2 million in total revenue. The revenue mix for the three months ended March 31, 2026 was: cloud subscriptions 41%; software license 1%; maintenance 11%; services 45%; and hardware 2%.</w:t>
      </w:r>
    </w:p>
    <w:p>
      <w:pPr>
        <w:spacing w:after="0" w:line="5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We have three geographic reportable segments: North, Latin, and South America (the “Americas”), Europe, the Middle East, and Africa (EMEA), and Asia-Pacific (APAC). Geographic revenue is based on the location of the sale. Our international revenue was approximately $96.8 million for the three months ended March 31, 2026, which represents approximately 34% of our total revenue for the three months ended March 31, 2026. International revenue includes all revenue derived from sales to customers outside the United States. At March 31, 2026, we employed approximately 4,390 employees worldwide. We have offices in Australia, Chile, China, France, Germany, India, Italy, Japan, the Netherlands, Singapore, Spain, the United Kingdom, and the United States, as well as representatives in Mexico and reseller partnerships in Latin America, Eastern Europe, the Middle East, South Africa, and Asia.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Future Expectations</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While we remain cautious about the global economy, including with respect to macroeconomic uncertainty and global instability resulting from the military conflict involving the United States, Israel, and Iran and the ongoing war between Russia and Ukraine, our results for the first three months of 2026 exceeded our expectations due to solid demand for our cloud solutions. Our solutions are mission critical, supporting complex global supply chains. We believe that favorable secular tailwinds, such as the digital transformation of businesses in manufacturing, wholesale, and retail, coupled with our commitment to investing in organic innovation to deliver leading cloud supply chain, inventory, and omnichannel commerce solutions is in synergistic alignment with current market demand. We believe this alignment is contributing to our strong financial results, higher demand, and strong win rates for our solutions for the period. We remain committed to investing in our business to drive customer success and expand our total addressable market, which we believe will position us well to achieve long-term sustainable growth and earnings.</w:t>
      </w:r>
    </w:p>
    <w:p>
      <w:pPr>
        <w:spacing w:after="0" w:line="84"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Going forward, we are investing in our cloud business, including enterprise investments in innovation, and strategic operating expenses to support growth objectives.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remainder of 2026, our five strategic goals remain to:</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4" w:name="page15"/>
    <w:bookmarkEnd w:id="14"/>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Focus on customer success and drive sustainable long-term growth;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in innovation to expand our products and total addressable market;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Manhattan Active suite of cloud solutions;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grow our cloud business and cloud subscription revenue;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our global sales and marketing teams.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Cloud Subscription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Under our Manhattan Active® Solutions cloud subscription offering, customers pay a periodic fee for the right to use our software within a cloud environment that we provide and manage over a specified period of time. Adoption of our Manhattan Active® cloud solutions continues to increase nicely, with cloud revenue up 24% over the same quarter in the prior year. Cloud revenue represents about 98% of our total software revenue.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Customers on our legacy perpetual license program can convert their maintenance contracts to cloud subscription contracts.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Global Economic Trends and Industry Factors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Global macro-economic trends, technology spending, and supply chain management market growth are important barometers for our business. In the three months ended March 31, 2026, approximately 66% of our total revenue was generated in the United States, 19% in EMEA, and the remaining balance in APAC, Canada, and Latin America. In addition, Gartner Inc. (“Gartner”), an information technology research and advisory company, estimates that approximately 80% of every supply chain software solutions dollar invested is spent in North America and Europe; consequently, the health of the U.S. and the European economies have a meaningful impact on our financial results.</w:t>
      </w:r>
    </w:p>
    <w:p>
      <w:pPr>
        <w:spacing w:after="0" w:line="7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We sell technology-based solutions with total pricing, including software and services, in many cases exceeding $1.0 million. Our software is often a part of our customers’ and prospects’ much larger capital commitment associated with facilities expansion and business improvement. We believe that, given the mission critical nature of our software, combined with a challenging global macro environment, our current sales cycles for large cloud subscriptions in our target markets could be extended. While demand for our solutions is solid, the current business climate within the United States and geographic regions in which we operate may affect customers’ and prospects’ decisions regarding timing of strategic capital expenditures.</w:t>
      </w:r>
    </w:p>
    <w:p>
      <w:pPr>
        <w:spacing w:after="0" w:line="75"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While we are encouraged by our results, we remain cautious regarding the pace of global economic growth. We believe global geopolitical and economic volatility likely will continue to shape customers’ and prospects’ enterprise software buying decisions.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Key Performance Metrics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We regularly review metrics to evaluate our business, measure our performance, identify trends affecting our business, formulate financial projections and make strategic decisions. We believe cloud subscriptions revenue growth and remaining performance obligation (RPO) growth are the leading indicators of our business performance, primarily derived from cloud subscription fees that customers pay for our Unified Omnichannel Commerce and Digital Supply Chain solutions.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Cloud Subscriptions Revenue Growth</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cloud revenue growth provides insight into our ability to maintain and grow our cloud customer base. Total cloud revenue increased to $117.1 million in the three months ended March 31, 2026 from $94.3 million for the same period in the prior year, representing a 24% year-over-year increase. Cloud revenue growth is being driven by strong demand for our cloud offerings.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Transaction price allocated to RPO represents contracted revenue that has not yet been recognized, which includes deferred revenue and non-cancelable amounts that we expect to invoice and recognize as revenue in future periods. Over 98% of our RPO represent cloud native subscriptions with a non-cancelable term greater than one year. Maintenance contracts typically are for one year and not included in RPO. RPO provides insight into our contracted backlog of future business. As of March 31, 2026, our RPO was approximately $2.3 billion, an increase of 24% over March 31, 2025 on strong demand.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Revenue</w:t>
      </w:r>
    </w:p>
    <w:p>
      <w:pPr>
        <w:spacing w:after="0" w:line="117"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Cloud Subscriptions and Software License Revenue. </w:t>
      </w:r>
      <w:r>
        <w:rPr>
          <w:rFonts w:ascii="Times New Roman" w:cs="Times New Roman" w:eastAsia="Times New Roman" w:hAnsi="Times New Roman"/>
          <w:sz w:val="18"/>
          <w:szCs w:val="18"/>
          <w:color w:val="auto"/>
        </w:rPr>
        <w:t>In the three months ended March 31, 2026, cloud subscriptions revenue totaled $117.1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41% of total revenues. The Americas, EMEA, and APAC segments recognized $89.5 million, $23.0 million, and $4.6 million in cloud subscriptions revenue, respectively, in the three months ended March 31, 2026. Cloud subscriptions revenue is recognized over the term of the agreement, typically five years or more. Cloud subscription revenue growth is influenced by the strength of general economic and business conditions and the competitive position of our software products. These revenues generally</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5" w:name="page16"/>
    <w:bookmarkEnd w:id="15"/>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have long sales cycles. During the three months ended March 31, 2026, approximately 58% of the total value of new non-cancelable cloud subscriptions (excluding renewals) signed was with new customers, and 42% was with existing customers. We define new customers as entities from which we either have never earned revenue or have not recognized revenue in the last five years.</w:t>
      </w:r>
    </w:p>
    <w:p>
      <w:pPr>
        <w:spacing w:after="0" w:line="68"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 the three months ended March 31, 2026, license revenue totaled $2.2 million, or 1% of total revenue. The Americas, EMEA, and APAC segments totaled $1.8 million, $0.2 million, and $0.2 million in license revenue, respectively, in the three months ended March 31, 2026.</w:t>
      </w:r>
    </w:p>
    <w:p>
      <w:pPr>
        <w:spacing w:after="0" w:line="54"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Our Unified Omnichannel Commerce and Digital Supply Chain solutions are focused on core omnichannel operation (e-commerce, retail store operations and POS), supply chain commerce operations (Warehouse Management, Transportation Management and Labor Management), and demand forecasting and replenishment, which are intensely competitive markets characterized by rapid technological change. We are a market leader in the supply chain management and omnichannel software solutions market as defined by industry analysts such as ARC Advisory Group and Gartner. Our goal is to extend our position as a leading global supply chain solutions provider by growing our cloud subscriptions revenues faster than our competitors through investment in innovation.</w:t>
      </w:r>
    </w:p>
    <w:p>
      <w:pPr>
        <w:spacing w:after="0" w:line="183"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Maintenance Revenue. </w:t>
      </w:r>
      <w:r>
        <w:rPr>
          <w:rFonts w:ascii="Times New Roman" w:cs="Times New Roman" w:eastAsia="Times New Roman" w:hAnsi="Times New Roman"/>
          <w:sz w:val="18"/>
          <w:szCs w:val="18"/>
          <w:color w:val="auto"/>
        </w:rPr>
        <w:t>Our maintenance revenue for the three months ended March 31, 2026 totaled $30.6 million, or 11% of total revenue.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Americas, EMEA and APAC segments recognized $23.8 million, $4.6 million, and $2.2 million, respectively, in maintenance revenue in the three months ended March 31, 2026. For maintenance, we offer a comprehensive 24 hours per day, 365 days per year program that provides our customers with software upgrades, when and if available, which include additional or improved functionality and technological advances incorporating emerging supply chain and industry initiatives.</w:t>
      </w:r>
    </w:p>
    <w:p>
      <w:pPr>
        <w:spacing w:after="0" w:line="7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Maintenance relates to our legacy perpetual license sales. We expect maintenance revenues to decline as we continue to develop our cloud offerings, and be offset by additional cloud revenue, including from customers converting their maintenance contracts to cloud subscriptions. The growth of maintenance revenues is influenced by: (1) new software license contracts; (2) annual renewal of support contracts; and (3) fluctuations in currency rates. Substantially all of our customers renew their annual support contracts or convert their maintenance contracts to cloud subscriptions. Maintenance revenue is generally paid in advance and recognized over the term of the agreement, typically twelve months. Maintenance renewal revenue is recognized over the renewal period once we have a contract upon payment from the customer.</w:t>
      </w:r>
    </w:p>
    <w:p>
      <w:pPr>
        <w:spacing w:after="0" w:line="183" w:lineRule="exact"/>
        <w:rPr>
          <w:sz w:val="20"/>
          <w:szCs w:val="20"/>
          <w:color w:val="auto"/>
        </w:rPr>
      </w:pPr>
    </w:p>
    <w:p>
      <w:pPr>
        <w:jc w:val="both"/>
        <w:ind w:right="100"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Services Revenue. </w:t>
      </w:r>
      <w:r>
        <w:rPr>
          <w:rFonts w:ascii="Times New Roman" w:cs="Times New Roman" w:eastAsia="Times New Roman" w:hAnsi="Times New Roman"/>
          <w:sz w:val="18"/>
          <w:szCs w:val="18"/>
          <w:color w:val="auto"/>
        </w:rPr>
        <w:t>In the three months ended March 31, 2026, our services revenue totaled $125.7 million, or 45% of total revenue. The Americas,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EMEA, and APAC segments recognized $93.3 million, $25.4 million, and $7.0 million, respectively, in services revenue in the three months ended March 31, 2026.</w:t>
      </w:r>
    </w:p>
    <w:p>
      <w:pPr>
        <w:spacing w:after="0" w:line="6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professional services organization provides our customers with expertise and assistance in planning and implementing our solutions. To ensure a successful product implementation, consultants assist customers with the initial implementation of a system or service, the conversion and transfer of the customer’s historical data to the new system or service, and ongoing training, education, and system/service upgrades. We believe our professional services enable customers to implement our software rapidly, ensure the customer’s success with our solutions, strengthen our customer relationships, and add to our industry-specific knowledge base for use in future implementations and product innovations.</w:t>
      </w:r>
    </w:p>
    <w:p>
      <w:pPr>
        <w:spacing w:after="0" w:line="7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Although our professional services are optional, the majority of our customers use at least some portion of these services for their planning, implementation, ongoing support, training, system upgrades or related needs. Professional services are typically rendered under time and materials-based contracts with services typically billed on an hourly basis. Professional services are sometimes rendered under fixed-fee based contracts with payments due on specific dates or milestones.</w:t>
      </w:r>
    </w:p>
    <w:p>
      <w:pPr>
        <w:spacing w:after="0" w:line="72"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Services revenue growth is contingent upon cloud sales and customer upgrade cycles, which are influenced by the strength of general economic and business conditions and the competitive position of our software products. In addition, our professional services business has competitive exposure to offshore providers and other consulting companies.</w:t>
      </w:r>
    </w:p>
    <w:p>
      <w:pPr>
        <w:spacing w:after="0" w:line="172" w:lineRule="exact"/>
        <w:rPr>
          <w:sz w:val="20"/>
          <w:szCs w:val="20"/>
          <w:color w:val="auto"/>
        </w:rPr>
      </w:pPr>
    </w:p>
    <w:p>
      <w:pPr>
        <w:ind w:right="60"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Hardware Revenue. </w:t>
      </w:r>
      <w:r>
        <w:rPr>
          <w:rFonts w:ascii="Times New Roman" w:cs="Times New Roman" w:eastAsia="Times New Roman" w:hAnsi="Times New Roman"/>
          <w:sz w:val="18"/>
          <w:szCs w:val="18"/>
          <w:color w:val="auto"/>
        </w:rPr>
        <w:t>Our hardware revenue, which we recognize net of related costs, totaled $6.5 million in the three months ended March 31,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representing 2% of total revenue. As a convenience for our cloud and perpetual license customers, we resell a variety of hardware products developed and manufactured by third parties. These products include computer hardware, radio frequency terminal networks, RFID chip readers, bar code printers and scanners, and other peripherals. We resell all third-party hardware products and related maintenance pursuant to agreements with manufacturers or through distributor-authorized reseller agreements pursuant to which we are entitled to purchase hardware products and services at discount prices. We purchase hardware from our vendors only after receiving an order from a customer. As a result, we do not maintain hardware inventory.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Product Development</w:t>
      </w:r>
    </w:p>
    <w:p>
      <w:pPr>
        <w:spacing w:after="0" w:line="121"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We continue to invest significantly in research and development (R&amp;D) to provide leading Unified Omnichannel Commerce and Digital Supply Chain solutions to enable global retailers, manufacturers, wholesalers, distributors, and logistics providers to</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6" w:name="page17"/>
    <w:bookmarkEnd w:id="16"/>
    <w:p>
      <w:pPr>
        <w:ind w:right="120"/>
        <w:spacing w:after="0" w:line="282" w:lineRule="auto"/>
        <w:rPr>
          <w:sz w:val="20"/>
          <w:szCs w:val="20"/>
          <w:color w:val="auto"/>
        </w:rPr>
      </w:pPr>
      <w:r>
        <w:rPr>
          <w:rFonts w:ascii="Times New Roman" w:cs="Times New Roman" w:eastAsia="Times New Roman" w:hAnsi="Times New Roman"/>
          <w:sz w:val="18"/>
          <w:szCs w:val="18"/>
          <w:color w:val="auto"/>
        </w:rPr>
        <w:t>successfully manage accelerating and fluctuating demands as well as the increasing complexity and volatility of their local and global supply chains, retail store operations, and POS. Our R&amp;D expenses were $37.3 million for the three months ended March 31, 2026.</w:t>
      </w:r>
    </w:p>
    <w:p>
      <w:pPr>
        <w:spacing w:after="0" w:line="54"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expect to continue to focus our R&amp;D resources on the development and enhancement of our core supply chain planning, supply chain execution, order management and store software solutions. We offer what we believe to be the broadest solutions portfolio in the supply chain solutions marketplace, addressing all aspects of demand forecasting and replenishment, transportation management, distribution management, and omnichannel operations including order management, store inventory &amp; fulfillment, call center, and POS.</w:t>
      </w:r>
    </w:p>
    <w:p>
      <w:pPr>
        <w:spacing w:after="0" w:line="7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We continue to invest in artificial intelligence (AI) technology to enhance our functional offerings on our Manhattan Active Platform, with a recent emphasis on agentic AI advancements. Our AI capabilities are seamlessly embedded within all supply chain execution, planning, and commerce applications, aimed at delivering real-time optimization and value creation. We plan to further expand our investments in generative AI, including leveraging third-party large language models to unlock value in a broader range of use cases.</w:t>
      </w:r>
    </w:p>
    <w:p>
      <w:pPr>
        <w:spacing w:after="0" w:line="72"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also plan to continue to enhance our existing solutions and to introduce new solutions to address evolving industry standards and market needs. We identify opportunities to further enhance our solutions and to develop and provide new solutions through our customer support organization, as well as through ongoing customer consulting engagements and implementations, interactions with our user groups, association with leading industry analysts and market research firms, and participation in industry standards and research committees. Our solutions address the needs of customers in various vertical markets, including retail, consumer goods, food and grocery, logistics service providers, industrial and wholesale, high technology and electronics, life sciences, and government.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Cash Flow and Financial Condition</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2026, we generated cash flow from operating activities of $84.0 million. Our cash and cash equivalents at March 31, 2026 totaled $226.1 million, with no debt. We currently have no credit facilities. Our primary uses of cash have been for funding investments in R&amp;D in our Unified Omnichannel Commerce and Digital Supply Chain solutions to drive revenue and earnings growth. In addition, during the three months ended March 31, 2026, we repurchased approximately $150.0 million of Manhattan Associates’ outstanding common stock under the share repurchase program approved by our Board of Directors. In March 2026, our Board of Directors approved an increase to the Company’s share repurchase authority from $100 million to $500 million. As of the end of the quarter, approximately $350.0 million remained under the existing March 2026 repurchase authority.</w:t>
      </w:r>
    </w:p>
    <w:p>
      <w:pPr>
        <w:spacing w:after="0" w:line="81" w:lineRule="exact"/>
        <w:rPr>
          <w:sz w:val="20"/>
          <w:szCs w:val="20"/>
          <w:color w:val="auto"/>
        </w:rPr>
      </w:pPr>
    </w:p>
    <w:p>
      <w:pPr>
        <w:jc w:val="both"/>
        <w:ind w:right="420" w:firstLine="509"/>
        <w:spacing w:after="0" w:line="266" w:lineRule="auto"/>
        <w:rPr>
          <w:sz w:val="20"/>
          <w:szCs w:val="20"/>
          <w:color w:val="auto"/>
        </w:rPr>
      </w:pPr>
      <w:r>
        <w:rPr>
          <w:rFonts w:ascii="Times New Roman" w:cs="Times New Roman" w:eastAsia="Times New Roman" w:hAnsi="Times New Roman"/>
          <w:sz w:val="18"/>
          <w:szCs w:val="18"/>
          <w:color w:val="auto"/>
        </w:rPr>
        <w:t>For the remainder of 2026, we expect our first priority for use of cash will continue to be investments in our Unified Omnichannel Commerce, Digital Supply Chain, and Manhattan Active® Agents solutions. We also expect to prioritize capital allocation in our global teams to fund growth and share repurchases. We do not anticipate any borrowing requirements in 2026 for general corporate purposes.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the following table, we present a summary of our consolidated results for the three months ended March 31, 2026 and 2025.</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74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6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34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3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27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34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4360" w:type="dxa"/>
            <w:vAlign w:val="bottom"/>
            <w:gridSpan w:val="2"/>
            <w:shd w:val="clear" w:color="auto" w:fill="CCFFCC"/>
          </w:tcPr>
          <w:p>
            <w:pPr>
              <w:jc w:val="right"/>
              <w:ind w:right="768"/>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282,215</w:t>
            </w:r>
          </w:p>
        </w:tc>
        <w:tc>
          <w:tcPr>
            <w:tcW w:w="1200" w:type="dxa"/>
            <w:vAlign w:val="bottom"/>
            <w:gridSpan w:val="2"/>
            <w:shd w:val="clear" w:color="auto" w:fill="CCFFC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95"/>
              </w:rPr>
              <w:t>262,787</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34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217,278</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199,615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34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64,937</w:t>
            </w:r>
          </w:p>
        </w:tc>
        <w:tc>
          <w:tcPr>
            <w:tcW w:w="2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63,172</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34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4,337</w:t>
            </w:r>
          </w:p>
        </w:tc>
        <w:tc>
          <w:tcPr>
            <w:tcW w:w="28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44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69,274</w:t>
            </w:r>
          </w:p>
        </w:tc>
        <w:tc>
          <w:tcPr>
            <w:tcW w:w="28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6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64,509</w:t>
            </w:r>
          </w:p>
        </w:tc>
        <w:tc>
          <w:tcPr>
            <w:tcW w:w="1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4360" w:type="dxa"/>
            <w:vAlign w:val="bottom"/>
            <w:gridSpan w:val="2"/>
          </w:tcPr>
          <w:p>
            <w:pPr>
              <w:jc w:val="right"/>
              <w:ind w:right="768"/>
              <w:spacing w:after="0"/>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49,295</w:t>
            </w:r>
          </w:p>
        </w:tc>
        <w:tc>
          <w:tcPr>
            <w:tcW w:w="120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52,582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340" w:type="dxa"/>
            <w:vAlign w:val="bottom"/>
            <w:shd w:val="clear" w:color="auto" w:fill="CCFFCC"/>
          </w:tcPr>
          <w:p>
            <w:pPr>
              <w:spacing w:after="0" w:line="196" w:lineRule="exact"/>
              <w:rPr>
                <w:sz w:val="20"/>
                <w:szCs w:val="20"/>
                <w:color w:val="auto"/>
              </w:rPr>
            </w:pPr>
            <w:r>
              <w:rPr>
                <w:rFonts w:ascii="Times New Roman" w:cs="Times New Roman" w:eastAsia="Times New Roman" w:hAnsi="Times New Roman"/>
                <w:sz w:val="18"/>
                <w:szCs w:val="18"/>
                <w:color w:val="auto"/>
              </w:rPr>
              <w:t>Diluted earnings per share</w:t>
            </w:r>
          </w:p>
        </w:tc>
        <w:tc>
          <w:tcPr>
            <w:tcW w:w="4360" w:type="dxa"/>
            <w:vAlign w:val="bottom"/>
            <w:gridSpan w:val="2"/>
            <w:shd w:val="clear" w:color="auto" w:fill="CCFFCC"/>
          </w:tcPr>
          <w:p>
            <w:pPr>
              <w:jc w:val="right"/>
              <w:ind w:right="768"/>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620" w:type="dxa"/>
            <w:vAlign w:val="bottom"/>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0.82</w:t>
            </w:r>
          </w:p>
        </w:tc>
        <w:tc>
          <w:tcPr>
            <w:tcW w:w="1200" w:type="dxa"/>
            <w:vAlign w:val="bottom"/>
            <w:gridSpan w:val="2"/>
            <w:shd w:val="clear" w:color="auto" w:fill="CCFFCC"/>
          </w:tcPr>
          <w:p>
            <w:pPr>
              <w:jc w:val="right"/>
              <w:ind w:right="748"/>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FFCC"/>
          </w:tcPr>
          <w:p>
            <w:pPr>
              <w:jc w:val="right"/>
              <w:spacing w:after="0" w:line="196" w:lineRule="exact"/>
              <w:rPr>
                <w:sz w:val="20"/>
                <w:szCs w:val="20"/>
                <w:color w:val="auto"/>
              </w:rPr>
            </w:pPr>
            <w:r>
              <w:rPr>
                <w:rFonts w:ascii="Times New Roman" w:cs="Times New Roman" w:eastAsia="Times New Roman" w:hAnsi="Times New Roman"/>
                <w:sz w:val="18"/>
                <w:szCs w:val="18"/>
                <w:color w:val="auto"/>
              </w:rPr>
              <w:t>0.85</w:t>
            </w:r>
          </w:p>
        </w:tc>
        <w:tc>
          <w:tcPr>
            <w:tcW w:w="12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340" w:type="dxa"/>
            <w:vAlign w:val="bottom"/>
            <w:tcBorders>
              <w:top w:val="single" w:sz="8" w:color="CCFFCC"/>
            </w:tcBorders>
          </w:tcPr>
          <w:p>
            <w:pPr>
              <w:spacing w:after="0" w:line="196" w:lineRule="exact"/>
              <w:rPr>
                <w:sz w:val="20"/>
                <w:szCs w:val="20"/>
                <w:color w:val="auto"/>
              </w:rPr>
            </w:pPr>
            <w:r>
              <w:rPr>
                <w:rFonts w:ascii="Times New Roman" w:cs="Times New Roman" w:eastAsia="Times New Roman" w:hAnsi="Times New Roman"/>
                <w:sz w:val="18"/>
                <w:szCs w:val="18"/>
                <w:color w:val="auto"/>
              </w:rPr>
              <w:t>Diluted weighted average number of shares</w:t>
            </w:r>
          </w:p>
        </w:tc>
        <w:tc>
          <w:tcPr>
            <w:tcW w:w="3440" w:type="dxa"/>
            <w:vAlign w:val="bottom"/>
            <w:tcBorders>
              <w:top w:val="single" w:sz="8" w:color="CCFFCC"/>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60,038</w:t>
            </w:r>
          </w:p>
        </w:tc>
        <w:tc>
          <w:tcPr>
            <w:tcW w:w="280" w:type="dxa"/>
            <w:vAlign w:val="bottom"/>
            <w:tcBorders>
              <w:top w:val="single" w:sz="8" w:color="CCFFCC"/>
            </w:tcBorders>
          </w:tcPr>
          <w:p>
            <w:pPr>
              <w:spacing w:after="0"/>
              <w:rPr>
                <w:sz w:val="17"/>
                <w:szCs w:val="17"/>
                <w:color w:val="auto"/>
              </w:rPr>
            </w:pPr>
          </w:p>
        </w:tc>
        <w:tc>
          <w:tcPr>
            <w:tcW w:w="92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61,527</w:t>
            </w:r>
          </w:p>
        </w:tc>
        <w:tc>
          <w:tcPr>
            <w:tcW w:w="120" w:type="dxa"/>
            <w:vAlign w:val="bottom"/>
            <w:tcBorders>
              <w:top w:val="single" w:sz="8" w:color="CCFFC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3440" w:type="dxa"/>
            <w:vAlign w:val="bottom"/>
            <w:vMerge w:val="restart"/>
          </w:tcPr>
          <w:p>
            <w:pPr>
              <w:jc w:val="right"/>
              <w:ind w:right="1970"/>
              <w:spacing w:after="0"/>
              <w:rPr>
                <w:sz w:val="20"/>
                <w:szCs w:val="20"/>
                <w:color w:val="auto"/>
              </w:rPr>
            </w:pPr>
            <w:r>
              <w:rPr>
                <w:rFonts w:ascii="Times New Roman" w:cs="Times New Roman" w:eastAsia="Times New Roman" w:hAnsi="Times New Roman"/>
                <w:sz w:val="18"/>
                <w:szCs w:val="18"/>
                <w:color w:val="auto"/>
              </w:rPr>
              <w:t>17</w:t>
            </w: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3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34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-1113790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-1096645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-1113790</wp:posOffset>
            </wp:positionV>
            <wp:extent cx="7747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-1096645</wp:posOffset>
            </wp:positionV>
            <wp:extent cx="77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7" w:name="page18"/>
    <w:bookmarkEnd w:id="17"/>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We have three geographic reportable segments: the Americas, EMEA, and APAC. Geographic revenue information is based on the location of sale. The revenues represented below are from external customers only. The geography-based expenses include costs of personnel, direct sales, marketing expenses, and general and administrative costs to support the business. There are certain corporate expenses included in the Americas segment that we do not charge to the other segments, including R&amp;D, stock compensation, certain marketing and general and administrative costs that support the global organization, and the amortization of acquired developed technology. Included in the Americas costs are all R&amp;D costs, including the costs associated with our operations in India. During the three months ended March 31, 2026 and 2025, we derived the majority of our revenues from sales to customers within our Americas segment. In the following table, we present a summary of revenue and operating income by segment: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8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70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jc w:val="right"/>
              <w:ind w:right="350"/>
              <w:spacing w:after="0" w:line="188" w:lineRule="exact"/>
              <w:rPr>
                <w:sz w:val="20"/>
                <w:szCs w:val="20"/>
                <w:color w:val="auto"/>
              </w:rPr>
            </w:pPr>
            <w:r>
              <w:rPr>
                <w:rFonts w:ascii="Times New Roman" w:cs="Times New Roman" w:eastAsia="Times New Roman" w:hAnsi="Times New Roman"/>
                <w:sz w:val="18"/>
                <w:szCs w:val="18"/>
                <w:b w:val="1"/>
                <w:bCs w:val="1"/>
                <w:color w:val="auto"/>
              </w:rPr>
              <w:t>% Change vs.</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20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b w:val="1"/>
                <w:bCs w:val="1"/>
                <w:color w:val="auto"/>
              </w:rPr>
              <w:t>2026</w:t>
            </w:r>
          </w:p>
        </w:tc>
        <w:tc>
          <w:tcPr>
            <w:tcW w:w="68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Prior Year</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780" w:type="dxa"/>
            <w:vAlign w:val="bottom"/>
            <w:vMerge w:val="continue"/>
          </w:tcPr>
          <w:p>
            <w:pPr>
              <w:spacing w:after="0"/>
              <w:rPr>
                <w:sz w:val="16"/>
                <w:szCs w:val="16"/>
                <w:color w:val="auto"/>
              </w:rPr>
            </w:pPr>
          </w:p>
        </w:tc>
        <w:tc>
          <w:tcPr>
            <w:tcW w:w="1200" w:type="dxa"/>
            <w:vAlign w:val="bottom"/>
          </w:tcPr>
          <w:p>
            <w:pPr>
              <w:spacing w:after="0"/>
              <w:rPr>
                <w:sz w:val="16"/>
                <w:szCs w:val="16"/>
                <w:color w:val="auto"/>
              </w:rPr>
            </w:pPr>
          </w:p>
        </w:tc>
        <w:tc>
          <w:tcPr>
            <w:tcW w:w="6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(in</w:t>
            </w:r>
          </w:p>
        </w:tc>
        <w:tc>
          <w:tcPr>
            <w:tcW w:w="960" w:type="dxa"/>
            <w:vAlign w:val="bottom"/>
            <w:gridSpan w:val="2"/>
          </w:tcPr>
          <w:p>
            <w:pPr>
              <w:jc w:val="right"/>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thousands)</w:t>
            </w: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Cloud subscriptions</w:t>
            </w:r>
          </w:p>
        </w:tc>
        <w:tc>
          <w:tcPr>
            <w:tcW w:w="1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89,565</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74,111</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22,964</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4,594</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2,988</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478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cloud subscriptions</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117,123</w:t>
            </w:r>
          </w:p>
        </w:tc>
        <w:tc>
          <w:tcPr>
            <w:tcW w:w="32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94,306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Software license</w:t>
            </w: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1,778</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229</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227</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478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software license</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c>
          <w:tcPr>
            <w:tcW w:w="32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4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Maintenance</w:t>
            </w: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23,851</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25,915</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4,571</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4,171</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2,170</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2,058</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478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maintenance</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30,592</w:t>
            </w:r>
          </w:p>
        </w:tc>
        <w:tc>
          <w:tcPr>
            <w:tcW w:w="32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4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93,330</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87,497</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25,388</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6,999</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7,278</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478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services</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125,717</w:t>
            </w:r>
          </w:p>
        </w:tc>
        <w:tc>
          <w:tcPr>
            <w:tcW w:w="320" w:type="dxa"/>
            <w:vAlign w:val="bottom"/>
          </w:tcPr>
          <w:p>
            <w:pPr>
              <w:spacing w:after="0"/>
              <w:rPr>
                <w:sz w:val="20"/>
                <w:szCs w:val="20"/>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Hardware</w:t>
            </w: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6,026</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5,642</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511</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478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1200" w:type="dxa"/>
            <w:vAlign w:val="bottom"/>
            <w:tcBorders>
              <w:bottom w:val="single" w:sz="8" w:color="auto"/>
            </w:tcBorders>
            <w:shd w:val="clear" w:color="auto" w:fill="CCFFCC"/>
          </w:tcPr>
          <w:p>
            <w:pPr>
              <w:spacing w:after="0"/>
              <w:rPr>
                <w:sz w:val="18"/>
                <w:szCs w:val="18"/>
                <w:color w:val="auto"/>
              </w:rPr>
            </w:pPr>
          </w:p>
        </w:tc>
        <w:tc>
          <w:tcPr>
            <w:tcW w:w="6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w:t>
            </w:r>
          </w:p>
        </w:tc>
        <w:tc>
          <w:tcPr>
            <w:tcW w:w="320" w:type="dxa"/>
            <w:vAlign w:val="bottom"/>
            <w:tcBorders>
              <w:bottom w:val="single" w:sz="8" w:color="CCFFCC"/>
            </w:tcBorders>
            <w:shd w:val="clear" w:color="auto" w:fill="CCFFCC"/>
          </w:tcPr>
          <w:p>
            <w:pPr>
              <w:spacing w:after="0"/>
              <w:rPr>
                <w:sz w:val="18"/>
                <w:szCs w:val="18"/>
                <w:color w:val="auto"/>
              </w:rPr>
            </w:pPr>
          </w:p>
        </w:tc>
        <w:tc>
          <w:tcPr>
            <w:tcW w:w="640" w:type="dxa"/>
            <w:vAlign w:val="bottom"/>
            <w:tcBorders>
              <w:bottom w:val="single" w:sz="8" w:color="auto"/>
            </w:tcBorders>
            <w:shd w:val="clear" w:color="auto" w:fill="CCFFCC"/>
          </w:tcPr>
          <w:p>
            <w:pPr>
              <w:spacing w:after="0"/>
              <w:rPr>
                <w:sz w:val="18"/>
                <w:szCs w:val="18"/>
                <w:color w:val="auto"/>
              </w:rPr>
            </w:pPr>
          </w:p>
        </w:tc>
        <w:tc>
          <w:tcPr>
            <w:tcW w:w="12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CFFCC"/>
            </w:tcBorders>
            <w:shd w:val="clear" w:color="auto" w:fill="CCFFCC"/>
          </w:tcPr>
          <w:p>
            <w:pPr>
              <w:spacing w:after="0"/>
              <w:rPr>
                <w:sz w:val="18"/>
                <w:szCs w:val="18"/>
                <w:color w:val="auto"/>
              </w:rPr>
            </w:pPr>
          </w:p>
        </w:tc>
        <w:tc>
          <w:tcPr>
            <w:tcW w:w="220" w:type="dxa"/>
            <w:vAlign w:val="bottom"/>
            <w:tcBorders>
              <w:bottom w:val="single" w:sz="8" w:color="auto"/>
            </w:tcBorders>
            <w:shd w:val="clear" w:color="auto" w:fill="CCFFCC"/>
          </w:tcPr>
          <w:p>
            <w:pPr>
              <w:spacing w:after="0"/>
              <w:rPr>
                <w:sz w:val="18"/>
                <w:szCs w:val="18"/>
                <w:color w:val="auto"/>
              </w:rPr>
            </w:pPr>
          </w:p>
        </w:tc>
        <w:tc>
          <w:tcPr>
            <w:tcW w:w="17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hardware</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6,549</w:t>
            </w:r>
          </w:p>
        </w:tc>
        <w:tc>
          <w:tcPr>
            <w:tcW w:w="960" w:type="dxa"/>
            <w:vAlign w:val="bottom"/>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4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214,550</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194,615</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53,663</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14,002</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478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282,215</w:t>
            </w:r>
          </w:p>
        </w:tc>
        <w:tc>
          <w:tcPr>
            <w:tcW w:w="320" w:type="dxa"/>
            <w:vAlign w:val="bottom"/>
          </w:tcPr>
          <w:p>
            <w:pPr>
              <w:spacing w:after="0"/>
              <w:rPr>
                <w:sz w:val="18"/>
                <w:szCs w:val="18"/>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262,787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78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39,005</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33,862</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1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19,670</w:t>
            </w: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47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1200" w:type="dxa"/>
            <w:vAlign w:val="bottom"/>
            <w:shd w:val="clear" w:color="auto" w:fill="CCFFCC"/>
          </w:tcPr>
          <w:p>
            <w:pPr>
              <w:spacing w:after="0"/>
              <w:rPr>
                <w:sz w:val="18"/>
                <w:szCs w:val="18"/>
                <w:color w:val="auto"/>
              </w:rPr>
            </w:pPr>
          </w:p>
        </w:tc>
        <w:tc>
          <w:tcPr>
            <w:tcW w:w="6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6,262</w:t>
            </w:r>
          </w:p>
        </w:tc>
        <w:tc>
          <w:tcPr>
            <w:tcW w:w="320" w:type="dxa"/>
            <w:vAlign w:val="bottom"/>
            <w:shd w:val="clear" w:color="auto" w:fill="CCFFCC"/>
          </w:tcPr>
          <w:p>
            <w:pPr>
              <w:spacing w:after="0"/>
              <w:rPr>
                <w:sz w:val="18"/>
                <w:szCs w:val="18"/>
                <w:color w:val="auto"/>
              </w:rPr>
            </w:pPr>
          </w:p>
        </w:tc>
        <w:tc>
          <w:tcPr>
            <w:tcW w:w="640" w:type="dxa"/>
            <w:vAlign w:val="bottom"/>
            <w:shd w:val="clear" w:color="auto" w:fill="CCFFCC"/>
          </w:tcPr>
          <w:p>
            <w:pPr>
              <w:spacing w:after="0"/>
              <w:rPr>
                <w:sz w:val="18"/>
                <w:szCs w:val="18"/>
                <w:color w:val="auto"/>
              </w:rPr>
            </w:pPr>
          </w:p>
        </w:tc>
        <w:tc>
          <w:tcPr>
            <w:tcW w:w="12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2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8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4780" w:type="dxa"/>
            <w:vAlign w:val="bottom"/>
            <w:shd w:val="clear" w:color="auto" w:fill="CCFFCC"/>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income</w:t>
            </w:r>
          </w:p>
        </w:tc>
        <w:tc>
          <w:tcPr>
            <w:tcW w:w="1200" w:type="dxa"/>
            <w:vAlign w:val="bottom"/>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64,937</w:t>
            </w:r>
          </w:p>
        </w:tc>
        <w:tc>
          <w:tcPr>
            <w:tcW w:w="320" w:type="dxa"/>
            <w:vAlign w:val="bottom"/>
          </w:tcPr>
          <w:p>
            <w:pPr>
              <w:spacing w:after="0"/>
              <w:rPr>
                <w:sz w:val="18"/>
                <w:szCs w:val="18"/>
                <w:color w:val="auto"/>
              </w:rPr>
            </w:pPr>
          </w:p>
        </w:tc>
        <w:tc>
          <w:tcPr>
            <w:tcW w:w="640" w:type="dxa"/>
            <w:vAlign w:val="bottom"/>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4780" w:type="dxa"/>
            <w:vAlign w:val="bottom"/>
          </w:tcPr>
          <w:p>
            <w:pPr>
              <w:spacing w:after="0"/>
              <w:rPr>
                <w:sz w:val="24"/>
                <w:szCs w:val="24"/>
                <w:color w:val="auto"/>
              </w:rPr>
            </w:pPr>
          </w:p>
        </w:tc>
        <w:tc>
          <w:tcPr>
            <w:tcW w:w="1200" w:type="dxa"/>
            <w:vAlign w:val="bottom"/>
          </w:tcPr>
          <w:p>
            <w:pPr>
              <w:ind w:left="760"/>
              <w:spacing w:after="0"/>
              <w:rPr>
                <w:sz w:val="20"/>
                <w:szCs w:val="20"/>
                <w:color w:val="auto"/>
              </w:rPr>
            </w:pPr>
            <w:r>
              <w:rPr>
                <w:rFonts w:ascii="Times New Roman" w:cs="Times New Roman" w:eastAsia="Times New Roman" w:hAnsi="Times New Roman"/>
                <w:sz w:val="18"/>
                <w:szCs w:val="18"/>
                <w:color w:val="auto"/>
              </w:rPr>
              <w:t>18</w:t>
            </w: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-6111240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-6111240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-6111240</wp:posOffset>
            </wp:positionV>
            <wp:extent cx="11176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-5280025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-5280025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-5280025</wp:posOffset>
            </wp:positionV>
            <wp:extent cx="11176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-4448175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-4448175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-4448175</wp:posOffset>
            </wp:positionV>
            <wp:extent cx="1117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-3616960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-3616960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-3616960</wp:posOffset>
            </wp:positionV>
            <wp:extent cx="11176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-2785110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-2785110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-2785110</wp:posOffset>
            </wp:positionV>
            <wp:extent cx="11176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-1953895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-1953895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-1953895</wp:posOffset>
            </wp:positionV>
            <wp:extent cx="11176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4231005</wp:posOffset>
            </wp:positionH>
            <wp:positionV relativeFrom="paragraph">
              <wp:posOffset>-1096645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-1096645</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-1096645</wp:posOffset>
            </wp:positionV>
            <wp:extent cx="11176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auto"/>
        </w:rPr>
        <w:t>Condensed Consolidated Financial Summary - First Quarter 2026</w:t>
      </w:r>
    </w:p>
    <w:p>
      <w:pPr>
        <w:spacing w:after="0" w:line="121" w:lineRule="exact"/>
        <w:rPr>
          <w:sz w:val="20"/>
          <w:szCs w:val="20"/>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total revenue: $282.2 million for the first quarter of 2026, compared to $262.8 million for the first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Cloud subscription revenue: $117.1 million for the first quarter of 2026, compared to $94.3 million for the first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Software license revenue: $2.2 million for the first quarter of 2026, compared to $9.3 million for the first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Services revenue: $125.7 million for the first quarter of 2026, compared to $121.1 million for the first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$64.9 million for the first quarter of 2026, compared to $63.2 million for the first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margins: 23.0% for the first quarter of 2026, compared to 24.0% for the first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Diluted earnings per share: $0.82 for the first quarter of 2026 compared to $0.85 for the first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$84.0 million in the first quarter of 2026, compared to $75.3 million in the first quarter of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sales outstanding: 72 days at March 31, 2026, compared to 73 days at December 31, 2025;</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$226.1 million at March 31, 2026, compared to $328.7 million at December 31, 2025; and</w:t>
      </w:r>
    </w:p>
    <w:p>
      <w:pPr>
        <w:spacing w:after="0" w:line="117" w:lineRule="exact"/>
        <w:rPr>
          <w:rFonts w:ascii="Times New Roman" w:cs="Times New Roman" w:eastAsia="Times New Roman" w:hAnsi="Times New Roman"/>
          <w:sz w:val="18"/>
          <w:szCs w:val="18"/>
          <w:color w:val="auto"/>
        </w:rPr>
      </w:pPr>
    </w:p>
    <w:p>
      <w:pPr>
        <w:ind w:left="900" w:right="140" w:hanging="383"/>
        <w:spacing w:after="0" w:line="258" w:lineRule="auto"/>
        <w:tabs>
          <w:tab w:leader="none" w:pos="9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In the three months ended March 31, 2026, we reduced our shares of common stock outstanding through the repurchase of approximately 1.0 million shares of our common stock, under the share repurchase program authorized by our Board of Directors for a total investment of $150.0 million. In March 2026, our Board of Directors approved an increase to the Company’s share repurchase authority from $100 million to $500 million. As of the end of the quarter, approximately $350.0 million remained under the existing March 2026 repurchase authority.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Below we discuss our consolidated results of operations for the first quarters of 2026 and 2025.</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45"/>
        </w:trPr>
        <w:tc>
          <w:tcPr>
            <w:tcW w:w="640" w:type="dxa"/>
            <w:vAlign w:val="bottom"/>
            <w:tcBorders>
              <w:top w:val="single" w:sz="8" w:color="auto"/>
            </w:tcBorders>
          </w:tcPr>
          <w:p>
            <w:pPr>
              <w:spacing w:after="0"/>
              <w:rPr>
                <w:sz w:val="24"/>
                <w:szCs w:val="24"/>
                <w:color w:val="auto"/>
              </w:rPr>
            </w:pPr>
          </w:p>
        </w:tc>
        <w:tc>
          <w:tcPr>
            <w:tcW w:w="41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840" w:type="dxa"/>
            <w:vAlign w:val="bottom"/>
            <w:tcBorders>
              <w:bottom w:val="single" w:sz="8" w:color="auto"/>
            </w:tcBorders>
            <w:gridSpan w:val="6"/>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0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210"/>
        </w:trPr>
        <w:tc>
          <w:tcPr>
            <w:tcW w:w="6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 Change vs.</w:t>
            </w:r>
          </w:p>
        </w:tc>
        <w:tc>
          <w:tcPr>
            <w:tcW w:w="2380" w:type="dxa"/>
            <w:vAlign w:val="bottom"/>
            <w:tcBorders>
              <w:bottom w:val="single" w:sz="8" w:color="auto"/>
            </w:tcBorders>
            <w:gridSpan w:val="3"/>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of Total Revenue</w:t>
            </w:r>
          </w:p>
        </w:tc>
        <w:tc>
          <w:tcPr>
            <w:tcW w:w="180" w:type="dxa"/>
            <w:vAlign w:val="bottom"/>
          </w:tcPr>
          <w:p>
            <w:pPr>
              <w:spacing w:after="0"/>
              <w:rPr>
                <w:sz w:val="18"/>
                <w:szCs w:val="18"/>
                <w:color w:val="auto"/>
              </w:rPr>
            </w:pPr>
          </w:p>
        </w:tc>
      </w:tr>
      <w:tr>
        <w:trPr>
          <w:trHeight w:val="209"/>
        </w:trPr>
        <w:tc>
          <w:tcPr>
            <w:tcW w:w="64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8"/>
                <w:szCs w:val="18"/>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Prior Year</w:t>
            </w:r>
          </w:p>
        </w:tc>
        <w:tc>
          <w:tcPr>
            <w:tcW w:w="300" w:type="dxa"/>
            <w:vAlign w:val="bottom"/>
          </w:tcPr>
          <w:p>
            <w:pPr>
              <w:spacing w:after="0"/>
              <w:rPr>
                <w:sz w:val="18"/>
                <w:szCs w:val="18"/>
                <w:color w:val="auto"/>
              </w:rPr>
            </w:pPr>
          </w:p>
        </w:tc>
        <w:tc>
          <w:tcPr>
            <w:tcW w:w="10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18"/>
                <w:szCs w:val="18"/>
                <w:color w:val="auto"/>
              </w:rPr>
            </w:pPr>
          </w:p>
        </w:tc>
        <w:tc>
          <w:tcPr>
            <w:tcW w:w="100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8"/>
                <w:szCs w:val="18"/>
                <w:color w:val="auto"/>
              </w:rPr>
            </w:pPr>
          </w:p>
        </w:tc>
      </w:tr>
      <w:tr>
        <w:trPr>
          <w:trHeight w:val="232"/>
        </w:trPr>
        <w:tc>
          <w:tcPr>
            <w:tcW w:w="64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(in</w:t>
            </w:r>
          </w:p>
        </w:tc>
        <w:tc>
          <w:tcPr>
            <w:tcW w:w="12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73"/>
              </w:rPr>
              <w:t>thousands)</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4"/>
        </w:trPr>
        <w:tc>
          <w:tcPr>
            <w:tcW w:w="64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48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Cloud subscriptions</w:t>
            </w:r>
          </w:p>
        </w:tc>
        <w:tc>
          <w:tcPr>
            <w:tcW w:w="200" w:type="dxa"/>
            <w:vAlign w:val="bottom"/>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117,123</w:t>
            </w:r>
          </w:p>
        </w:tc>
        <w:tc>
          <w:tcPr>
            <w:tcW w:w="400" w:type="dxa"/>
            <w:vAlign w:val="bottom"/>
            <w:gridSpan w:val="2"/>
            <w:shd w:val="clear" w:color="auto" w:fill="CCFFC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94,306</w:t>
            </w:r>
          </w:p>
        </w:tc>
        <w:tc>
          <w:tcPr>
            <w:tcW w:w="166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24%</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41%</w:t>
            </w:r>
          </w:p>
        </w:tc>
        <w:tc>
          <w:tcPr>
            <w:tcW w:w="11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 license</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2,234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9,292</w:t>
            </w: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-76%</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8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Maintenance</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30,592</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32,144</w:t>
            </w:r>
          </w:p>
        </w:tc>
        <w:tc>
          <w:tcPr>
            <w:tcW w:w="1660" w:type="dxa"/>
            <w:vAlign w:val="bottom"/>
            <w:gridSpan w:val="3"/>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-5%</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w:t>
            </w:r>
          </w:p>
        </w:tc>
        <w:tc>
          <w:tcPr>
            <w:tcW w:w="11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125,717</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121,127</w:t>
            </w:r>
          </w:p>
        </w:tc>
        <w:tc>
          <w:tcPr>
            <w:tcW w:w="16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4%</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45%</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482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Hardware</w:t>
            </w: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6,549</w:t>
            </w:r>
          </w:p>
        </w:tc>
        <w:tc>
          <w:tcPr>
            <w:tcW w:w="200" w:type="dxa"/>
            <w:vAlign w:val="bottom"/>
            <w:shd w:val="clear" w:color="auto" w:fill="CCFFCC"/>
          </w:tcPr>
          <w:p>
            <w:pPr>
              <w:spacing w:after="0"/>
              <w:rPr>
                <w:sz w:val="18"/>
                <w:szCs w:val="18"/>
                <w:color w:val="auto"/>
              </w:rPr>
            </w:pPr>
          </w:p>
        </w:tc>
        <w:tc>
          <w:tcPr>
            <w:tcW w:w="200" w:type="dxa"/>
            <w:vAlign w:val="bottom"/>
            <w:shd w:val="clear" w:color="auto" w:fill="CCFFCC"/>
          </w:tcPr>
          <w:p>
            <w:pPr>
              <w:spacing w:after="0"/>
              <w:rPr>
                <w:sz w:val="18"/>
                <w:szCs w:val="18"/>
                <w:color w:val="auto"/>
              </w:rPr>
            </w:pPr>
          </w:p>
        </w:tc>
        <w:tc>
          <w:tcPr>
            <w:tcW w:w="8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20" w:type="dxa"/>
            <w:vAlign w:val="bottom"/>
            <w:shd w:val="clear" w:color="auto" w:fill="CCFFCC"/>
          </w:tcPr>
          <w:p>
            <w:pPr>
              <w:spacing w:after="0"/>
              <w:rPr>
                <w:sz w:val="18"/>
                <w:szCs w:val="18"/>
                <w:color w:val="auto"/>
              </w:rPr>
            </w:pPr>
          </w:p>
        </w:tc>
        <w:tc>
          <w:tcPr>
            <w:tcW w:w="144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11%</w:t>
            </w:r>
          </w:p>
        </w:tc>
        <w:tc>
          <w:tcPr>
            <w:tcW w:w="1380" w:type="dxa"/>
            <w:vAlign w:val="bottom"/>
            <w:gridSpan w:val="2"/>
            <w:shd w:val="clear" w:color="auto" w:fill="CCFFC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w:t>
            </w:r>
          </w:p>
        </w:tc>
        <w:tc>
          <w:tcPr>
            <w:tcW w:w="118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640" w:type="dxa"/>
            <w:vAlign w:val="bottom"/>
            <w:shd w:val="clear" w:color="auto" w:fill="CCFFCC"/>
          </w:tcPr>
          <w:p>
            <w:pPr>
              <w:spacing w:after="0" w:line="20" w:lineRule="exact"/>
              <w:rPr>
                <w:sz w:val="1"/>
                <w:szCs w:val="1"/>
                <w:color w:val="auto"/>
              </w:rPr>
            </w:pPr>
          </w:p>
        </w:tc>
        <w:tc>
          <w:tcPr>
            <w:tcW w:w="418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300" w:type="dxa"/>
            <w:vAlign w:val="bottom"/>
            <w:shd w:val="clear" w:color="auto" w:fill="CCFFCC"/>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r>
      <w:tr>
        <w:trPr>
          <w:trHeight w:val="210"/>
        </w:trPr>
        <w:tc>
          <w:tcPr>
            <w:tcW w:w="4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282,215</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262,787</w:t>
            </w:r>
          </w:p>
        </w:tc>
        <w:tc>
          <w:tcPr>
            <w:tcW w:w="2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7%</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100%</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r>
      <w:tr>
        <w:trPr>
          <w:trHeight w:val="20"/>
        </w:trPr>
        <w:tc>
          <w:tcPr>
            <w:tcW w:w="6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-170815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-170815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-170815</wp:posOffset>
            </wp:positionV>
            <wp:extent cx="12890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12890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8905" cy="8890"/>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-170815</wp:posOffset>
            </wp:positionV>
            <wp:extent cx="1117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spacing w:after="0" w:line="174" w:lineRule="exact"/>
        <w:rPr>
          <w:sz w:val="20"/>
          <w:szCs w:val="20"/>
          <w:color w:val="auto"/>
        </w:rPr>
      </w:pPr>
    </w:p>
    <w:p>
      <w:pPr>
        <w:ind w:right="2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Cloud Subscriptions Revenue. </w:t>
      </w:r>
      <w:r>
        <w:rPr>
          <w:rFonts w:ascii="Times New Roman" w:cs="Times New Roman" w:eastAsia="Times New Roman" w:hAnsi="Times New Roman"/>
          <w:sz w:val="18"/>
          <w:szCs w:val="18"/>
          <w:color w:val="auto"/>
        </w:rPr>
        <w:t>In the first quarter of 2026, cloud subscriptions revenue increased $22.8 million compared to the same quarter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prior year. Our customers have demonstrated a clear preference for cloud-based solutions, including existing customers that are migrating from on-premise to cloud-based offerings. Cloud subscriptions revenue for the Americas, EMEA and APAC segments increased $15.4 million, $5.8 million and $1.6 million in the first quarter of 2026, respectively.</w:t>
      </w:r>
    </w:p>
    <w:p>
      <w:pPr>
        <w:spacing w:after="0" w:line="203" w:lineRule="exact"/>
        <w:rPr>
          <w:sz w:val="20"/>
          <w:szCs w:val="20"/>
          <w:color w:val="auto"/>
        </w:rPr>
      </w:pPr>
    </w:p>
    <w:p>
      <w:pPr>
        <w:ind w:right="12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Software License Revenue. </w:t>
      </w:r>
      <w:r>
        <w:rPr>
          <w:rFonts w:ascii="Times New Roman" w:cs="Times New Roman" w:eastAsia="Times New Roman" w:hAnsi="Times New Roman"/>
          <w:sz w:val="18"/>
          <w:szCs w:val="18"/>
          <w:color w:val="auto"/>
        </w:rPr>
        <w:t>Software license revenue decreased $7.1 million in the first quarter of 2026 compared to the same quarter in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predominately driven by one large contract with an existing customer in the prior year period. The perpetual license sales percentage mix across our product suite in the first quarter ended March 31, 2026 was over 95% warehouse management solutions.</w:t>
      </w:r>
    </w:p>
    <w:p>
      <w:pPr>
        <w:spacing w:after="0" w:line="171" w:lineRule="exact"/>
        <w:rPr>
          <w:sz w:val="20"/>
          <w:szCs w:val="20"/>
          <w:color w:val="auto"/>
        </w:rPr>
      </w:pPr>
    </w:p>
    <w:p>
      <w:pPr>
        <w:jc w:val="both"/>
        <w:ind w:right="30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Maintenance Revenue. </w:t>
      </w:r>
      <w:r>
        <w:rPr>
          <w:rFonts w:ascii="Times New Roman" w:cs="Times New Roman" w:eastAsia="Times New Roman" w:hAnsi="Times New Roman"/>
          <w:sz w:val="18"/>
          <w:szCs w:val="18"/>
          <w:color w:val="auto"/>
        </w:rPr>
        <w:t>Maintenance revenue decreased $1.6 million in the first quarter of 2026 compared to the same quarter in the prior year.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Maintenance revenue decreased by $2.1 million for the Americas segment, partially offset by a $0.4 million increase for the EMEA segment and a $0.1 million increase for the APAC segment. Maintenance relates to our perpetual software licenses. The decrease in maintenance revenue for the Americas segment is primarily driven by customer demand for cloud-based solutions over perpetual software licenses.</w:t>
      </w:r>
    </w:p>
    <w:p>
      <w:pPr>
        <w:spacing w:after="0" w:line="176" w:lineRule="exact"/>
        <w:rPr>
          <w:sz w:val="20"/>
          <w:szCs w:val="20"/>
          <w:color w:val="auto"/>
        </w:rPr>
      </w:pPr>
    </w:p>
    <w:p>
      <w:pPr>
        <w:ind w:right="38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Services Revenue. </w:t>
      </w:r>
      <w:r>
        <w:rPr>
          <w:rFonts w:ascii="Times New Roman" w:cs="Times New Roman" w:eastAsia="Times New Roman" w:hAnsi="Times New Roman"/>
          <w:sz w:val="18"/>
          <w:szCs w:val="18"/>
          <w:color w:val="auto"/>
        </w:rPr>
        <w:t>Services revenue increased $4.6 million in the first quarter of 2026 compared to the same quarter in the prior year. Services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for the Americas segment increased $5.8 million, partially offset by $0.9 million and $0.3 million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ind w:right="420"/>
        <w:spacing w:after="0" w:line="261" w:lineRule="auto"/>
        <w:rPr>
          <w:sz w:val="20"/>
          <w:szCs w:val="20"/>
          <w:color w:val="auto"/>
        </w:rPr>
      </w:pPr>
      <w:r>
        <w:rPr>
          <w:rFonts w:ascii="Times New Roman" w:cs="Times New Roman" w:eastAsia="Times New Roman" w:hAnsi="Times New Roman"/>
          <w:sz w:val="18"/>
          <w:szCs w:val="18"/>
          <w:color w:val="auto"/>
        </w:rPr>
        <w:t>decreases for the EMEA and APAC segments, respectively, compared to the same quarter in the prior year. The increase in services revenue for the Americas segment is primarily driven by demand for cloud based solutions. The percentage of professional services revenue that relates to cloud subscriptions in the first quarter of 2026 and 2025 was approximately 80% and 74%, respectively. The remainder of our professional services revenue relates to implementations, ongoing support, and upgrades of licensed software.</w:t>
      </w:r>
    </w:p>
    <w:p>
      <w:pPr>
        <w:spacing w:after="0" w:line="176" w:lineRule="exact"/>
        <w:rPr>
          <w:sz w:val="20"/>
          <w:szCs w:val="20"/>
          <w:color w:val="auto"/>
        </w:rPr>
      </w:pPr>
    </w:p>
    <w:p>
      <w:pPr>
        <w:ind w:right="10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Hardware Revenue. </w:t>
      </w:r>
      <w:r>
        <w:rPr>
          <w:rFonts w:ascii="Times New Roman" w:cs="Times New Roman" w:eastAsia="Times New Roman" w:hAnsi="Times New Roman"/>
          <w:sz w:val="18"/>
          <w:szCs w:val="18"/>
          <w:color w:val="auto"/>
        </w:rPr>
        <w:t>Hardware revenue, net decreased $0.6 million in the first quarter of 2026 compared to the same quarter in the prior year.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majority of our hardware revenue is derived from our Americas segment. Sales of hardware are largely dependent upon customer-specific desires, which fluctuate.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44"/>
        </w:trPr>
        <w:tc>
          <w:tcPr>
            <w:tcW w:w="1220" w:type="dxa"/>
            <w:vAlign w:val="bottom"/>
            <w:tcBorders>
              <w:top w:val="single" w:sz="8" w:color="auto"/>
            </w:tcBorders>
          </w:tcPr>
          <w:p>
            <w:pPr>
              <w:spacing w:after="0"/>
              <w:rPr>
                <w:sz w:val="24"/>
                <w:szCs w:val="24"/>
                <w:color w:val="auto"/>
              </w:rPr>
            </w:pPr>
          </w:p>
        </w:tc>
        <w:tc>
          <w:tcPr>
            <w:tcW w:w="40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7"/>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87"/>
        </w:trPr>
        <w:tc>
          <w:tcPr>
            <w:tcW w:w="122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Change vs.</w:t>
            </w:r>
          </w:p>
        </w:tc>
        <w:tc>
          <w:tcPr>
            <w:tcW w:w="180" w:type="dxa"/>
            <w:vAlign w:val="bottom"/>
          </w:tcPr>
          <w:p>
            <w:pPr>
              <w:spacing w:after="0"/>
              <w:rPr>
                <w:sz w:val="16"/>
                <w:szCs w:val="16"/>
                <w:color w:val="auto"/>
              </w:rPr>
            </w:pPr>
          </w:p>
        </w:tc>
      </w:tr>
      <w:tr>
        <w:trPr>
          <w:trHeight w:val="238"/>
        </w:trPr>
        <w:tc>
          <w:tcPr>
            <w:tcW w:w="122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Prior Year</w:t>
            </w:r>
          </w:p>
        </w:tc>
      </w:tr>
      <w:tr>
        <w:trPr>
          <w:trHeight w:val="209"/>
        </w:trPr>
        <w:tc>
          <w:tcPr>
            <w:tcW w:w="12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526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134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126,077</w:t>
            </w:r>
          </w:p>
        </w:tc>
        <w:tc>
          <w:tcPr>
            <w:tcW w:w="260" w:type="dxa"/>
            <w:vAlign w:val="bottom"/>
            <w:shd w:val="clear" w:color="auto" w:fill="CCFFCC"/>
          </w:tcPr>
          <w:p>
            <w:pPr>
              <w:spacing w:after="0"/>
              <w:rPr>
                <w:sz w:val="18"/>
                <w:szCs w:val="18"/>
                <w:color w:val="auto"/>
              </w:rPr>
            </w:pPr>
          </w:p>
        </w:tc>
        <w:tc>
          <w:tcPr>
            <w:tcW w:w="280" w:type="dxa"/>
            <w:vAlign w:val="bottom"/>
            <w:shd w:val="clear" w:color="auto" w:fill="CCFFCC"/>
          </w:tcPr>
          <w:p>
            <w:pPr>
              <w:spacing w:after="0"/>
              <w:rPr>
                <w:sz w:val="18"/>
                <w:szCs w:val="18"/>
                <w:color w:val="auto"/>
              </w:rPr>
            </w:pP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114,358</w:t>
            </w:r>
          </w:p>
        </w:tc>
        <w:tc>
          <w:tcPr>
            <w:tcW w:w="176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software license</w:t>
            </w:r>
          </w:p>
        </w:tc>
        <w:tc>
          <w:tcPr>
            <w:tcW w:w="134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564</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170%</w:t>
            </w:r>
          </w:p>
        </w:tc>
      </w:tr>
      <w:tr>
        <w:trPr>
          <w:trHeight w:val="20"/>
        </w:trPr>
        <w:tc>
          <w:tcPr>
            <w:tcW w:w="1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30"/>
        </w:trPr>
        <w:tc>
          <w:tcPr>
            <w:tcW w:w="5260" w:type="dxa"/>
            <w:vAlign w:val="bottom"/>
            <w:gridSpan w:val="2"/>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Total cost of revenue</w:t>
            </w:r>
          </w:p>
        </w:tc>
        <w:tc>
          <w:tcPr>
            <w:tcW w:w="1340" w:type="dxa"/>
            <w:vAlign w:val="bottom"/>
            <w:shd w:val="clear" w:color="auto" w:fill="CCFFCC"/>
          </w:tcPr>
          <w:p>
            <w:pPr>
              <w:spacing w:after="0"/>
              <w:rPr>
                <w:sz w:val="19"/>
                <w:szCs w:val="19"/>
                <w:color w:val="auto"/>
              </w:rPr>
            </w:pP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126,641</w:t>
            </w:r>
          </w:p>
        </w:tc>
        <w:tc>
          <w:tcPr>
            <w:tcW w:w="54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114,567</w:t>
            </w:r>
          </w:p>
        </w:tc>
        <w:tc>
          <w:tcPr>
            <w:tcW w:w="176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1220" w:type="dxa"/>
            <w:vAlign w:val="bottom"/>
            <w:tcBorders>
              <w:top w:val="single" w:sz="8" w:color="CCFFCC"/>
            </w:tcBorders>
            <w:shd w:val="clear" w:color="auto" w:fill="CCFFCC"/>
          </w:tcPr>
          <w:p>
            <w:pPr>
              <w:spacing w:after="0" w:line="20" w:lineRule="exact"/>
              <w:rPr>
                <w:sz w:val="1"/>
                <w:szCs w:val="1"/>
                <w:color w:val="auto"/>
              </w:rPr>
            </w:pPr>
          </w:p>
        </w:tc>
        <w:tc>
          <w:tcPr>
            <w:tcW w:w="4040" w:type="dxa"/>
            <w:vAlign w:val="bottom"/>
            <w:tcBorders>
              <w:top w:val="single" w:sz="8" w:color="CCFFCC"/>
            </w:tcBorders>
            <w:shd w:val="clear" w:color="auto" w:fill="CCFFCC"/>
          </w:tcPr>
          <w:p>
            <w:pPr>
              <w:spacing w:after="0" w:line="20" w:lineRule="exact"/>
              <w:rPr>
                <w:sz w:val="1"/>
                <w:szCs w:val="1"/>
                <w:color w:val="auto"/>
              </w:rPr>
            </w:pPr>
          </w:p>
        </w:tc>
        <w:tc>
          <w:tcPr>
            <w:tcW w:w="134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FFCC"/>
            </w:tcBorders>
            <w:shd w:val="clear" w:color="auto" w:fill="CCFFC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-24765</wp:posOffset>
            </wp:positionV>
            <wp:extent cx="11176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-7620</wp:posOffset>
            </wp:positionV>
            <wp:extent cx="11176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11760" cy="8255"/>
                    </a:xfrm>
                    <a:prstGeom prst="rect">
                      <a:avLst/>
                    </a:prstGeom>
                    <a:noFill/>
                  </pic:spPr>
                </pic:pic>
              </a:graphicData>
            </a:graphic>
          </wp:anchor>
        </w:drawing>
      </w:r>
    </w:p>
    <w:p>
      <w:pPr>
        <w:spacing w:after="0" w:line="174"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Cloud Subscriptions, Maintenance and Services. </w:t>
      </w:r>
      <w:r>
        <w:rPr>
          <w:rFonts w:ascii="Times New Roman" w:cs="Times New Roman" w:eastAsia="Times New Roman" w:hAnsi="Times New Roman"/>
          <w:sz w:val="18"/>
          <w:szCs w:val="18"/>
          <w:color w:val="auto"/>
        </w:rPr>
        <w:t>Costs of cloud subscriptions, maintenance and services consist primarily of salaries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personnel-related expenses of employees dedicated to cloud subscriptions; maintenance services; and professional and technical services as well as hosting fees. The $11.7 million increase in the quarter ended March 31, 2026 compared to the same quarter in the prior year was due to a $5.9 million increase in compensation and other personnel-related expenses, a $1.6 million increase in performance-based compensation expense, a $3.6 million increase in computer infrastructure cost, and a $0.4 million increase in travel costs.</w:t>
      </w:r>
    </w:p>
    <w:p>
      <w:pPr>
        <w:spacing w:after="0" w:line="179" w:lineRule="exact"/>
        <w:rPr>
          <w:sz w:val="20"/>
          <w:szCs w:val="20"/>
          <w:color w:val="auto"/>
        </w:rPr>
      </w:pPr>
    </w:p>
    <w:p>
      <w:pPr>
        <w:jc w:val="both"/>
        <w:ind w:right="260" w:firstLine="50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Cost of Software License. </w:t>
      </w:r>
      <w:r>
        <w:rPr>
          <w:rFonts w:ascii="Times New Roman" w:cs="Times New Roman" w:eastAsia="Times New Roman" w:hAnsi="Times New Roman"/>
          <w:sz w:val="18"/>
          <w:szCs w:val="18"/>
          <w:color w:val="auto"/>
        </w:rPr>
        <w:t>Cost of software license consists of the costs associated with software reproduction; media, packaging and delivery;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documentation, and other related costs; and royalties on third-party software sold with or as part of our products. Cost of software license increased $0.4 million in the first quarter of 2026 compared with the same quarter in the prior year.</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345"/>
        </w:trPr>
        <w:tc>
          <w:tcPr>
            <w:tcW w:w="1500" w:type="dxa"/>
            <w:vAlign w:val="bottom"/>
            <w:tcBorders>
              <w:top w:val="single" w:sz="8" w:color="auto"/>
            </w:tcBorders>
          </w:tcPr>
          <w:p>
            <w:pPr>
              <w:spacing w:after="0"/>
              <w:rPr>
                <w:sz w:val="24"/>
                <w:szCs w:val="24"/>
                <w:color w:val="auto"/>
              </w:rPr>
            </w:pPr>
          </w:p>
        </w:tc>
        <w:tc>
          <w:tcPr>
            <w:tcW w:w="5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80" w:type="dxa"/>
            <w:vAlign w:val="bottom"/>
            <w:gridSpan w:val="7"/>
          </w:tcPr>
          <w:p>
            <w:pPr>
              <w:jc w:val="right"/>
              <w:ind w:right="12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87"/>
        </w:trPr>
        <w:tc>
          <w:tcPr>
            <w:tcW w:w="15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Change vs.</w:t>
            </w:r>
          </w:p>
        </w:tc>
        <w:tc>
          <w:tcPr>
            <w:tcW w:w="200" w:type="dxa"/>
            <w:vAlign w:val="bottom"/>
          </w:tcPr>
          <w:p>
            <w:pPr>
              <w:spacing w:after="0"/>
              <w:rPr>
                <w:sz w:val="16"/>
                <w:szCs w:val="16"/>
                <w:color w:val="auto"/>
              </w:rPr>
            </w:pPr>
          </w:p>
        </w:tc>
      </w:tr>
      <w:tr>
        <w:trPr>
          <w:trHeight w:val="238"/>
        </w:trPr>
        <w:tc>
          <w:tcPr>
            <w:tcW w:w="15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4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Prior Year</w:t>
            </w:r>
          </w:p>
        </w:tc>
        <w:tc>
          <w:tcPr>
            <w:tcW w:w="200" w:type="dxa"/>
            <w:vAlign w:val="bottom"/>
          </w:tcPr>
          <w:p>
            <w:pPr>
              <w:spacing w:after="0"/>
              <w:rPr>
                <w:sz w:val="20"/>
                <w:szCs w:val="20"/>
                <w:color w:val="auto"/>
              </w:rPr>
            </w:pPr>
          </w:p>
        </w:tc>
      </w:tr>
      <w:tr>
        <w:trPr>
          <w:trHeight w:val="232"/>
        </w:trPr>
        <w:tc>
          <w:tcPr>
            <w:tcW w:w="150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r>
      <w:tr>
        <w:trPr>
          <w:trHeight w:val="194"/>
        </w:trPr>
        <w:tc>
          <w:tcPr>
            <w:tcW w:w="1500" w:type="dxa"/>
            <w:vAlign w:val="bottom"/>
          </w:tcPr>
          <w:p>
            <w:pPr>
              <w:spacing w:after="0"/>
              <w:rPr>
                <w:sz w:val="16"/>
                <w:szCs w:val="16"/>
                <w:color w:val="auto"/>
              </w:rPr>
            </w:pPr>
          </w:p>
        </w:tc>
        <w:tc>
          <w:tcPr>
            <w:tcW w:w="5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16"/>
        </w:trPr>
        <w:tc>
          <w:tcPr>
            <w:tcW w:w="65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 w:type="dxa"/>
            <w:vAlign w:val="bottom"/>
            <w:shd w:val="clear" w:color="auto" w:fill="CCFFCC"/>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37,346</w:t>
            </w:r>
          </w:p>
        </w:tc>
        <w:tc>
          <w:tcPr>
            <w:tcW w:w="680" w:type="dxa"/>
            <w:vAlign w:val="bottom"/>
            <w:gridSpan w:val="2"/>
            <w:shd w:val="clear" w:color="auto" w:fill="CCFFCC"/>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35,298</w:t>
            </w:r>
          </w:p>
        </w:tc>
        <w:tc>
          <w:tcPr>
            <w:tcW w:w="17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6%</w:t>
            </w: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27,752</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21,061</w:t>
            </w: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32%</w:t>
            </w:r>
          </w:p>
        </w:tc>
      </w:tr>
      <w:tr>
        <w:trPr>
          <w:trHeight w:val="216"/>
        </w:trPr>
        <w:tc>
          <w:tcPr>
            <w:tcW w:w="65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23,706</w:t>
            </w:r>
          </w:p>
        </w:tc>
        <w:tc>
          <w:tcPr>
            <w:tcW w:w="2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24,219</w:t>
            </w:r>
          </w:p>
        </w:tc>
        <w:tc>
          <w:tcPr>
            <w:tcW w:w="178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16"/>
        </w:trPr>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1,833</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7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19%</w:t>
            </w:r>
          </w:p>
        </w:tc>
      </w:tr>
      <w:tr>
        <w:trPr>
          <w:trHeight w:val="216"/>
        </w:trPr>
        <w:tc>
          <w:tcPr>
            <w:tcW w:w="658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Restructuring expense</w:t>
            </w:r>
          </w:p>
        </w:tc>
        <w:tc>
          <w:tcPr>
            <w:tcW w:w="28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shd w:val="clear" w:color="auto" w:fill="CCFFCC"/>
          </w:tcPr>
          <w:p>
            <w:pPr>
              <w:spacing w:after="0"/>
              <w:rPr>
                <w:sz w:val="18"/>
                <w:szCs w:val="18"/>
                <w:color w:val="auto"/>
              </w:rPr>
            </w:pPr>
          </w:p>
        </w:tc>
        <w:tc>
          <w:tcPr>
            <w:tcW w:w="44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220" w:type="dxa"/>
            <w:vAlign w:val="bottom"/>
            <w:shd w:val="clear" w:color="auto" w:fill="CCFFCC"/>
          </w:tcPr>
          <w:p>
            <w:pPr>
              <w:spacing w:after="0"/>
              <w:rPr>
                <w:sz w:val="18"/>
                <w:szCs w:val="18"/>
                <w:color w:val="auto"/>
              </w:rPr>
            </w:pPr>
          </w:p>
        </w:tc>
        <w:tc>
          <w:tcPr>
            <w:tcW w:w="1560" w:type="dxa"/>
            <w:vAlign w:val="bottom"/>
            <w:gridSpan w:val="2"/>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1500" w:type="dxa"/>
            <w:vAlign w:val="bottom"/>
            <w:shd w:val="clear" w:color="auto" w:fill="CCFFCC"/>
          </w:tcPr>
          <w:p>
            <w:pPr>
              <w:spacing w:after="0" w:line="20" w:lineRule="exact"/>
              <w:rPr>
                <w:sz w:val="1"/>
                <w:szCs w:val="1"/>
                <w:color w:val="auto"/>
              </w:rPr>
            </w:pPr>
          </w:p>
        </w:tc>
        <w:tc>
          <w:tcPr>
            <w:tcW w:w="5080" w:type="dxa"/>
            <w:vAlign w:val="bottom"/>
            <w:shd w:val="clear" w:color="auto" w:fill="CCFFC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200" w:type="dxa"/>
            <w:vAlign w:val="bottom"/>
            <w:shd w:val="clear" w:color="auto" w:fill="CCFFCC"/>
          </w:tcPr>
          <w:p>
            <w:pPr>
              <w:spacing w:after="0" w:line="20" w:lineRule="exact"/>
              <w:rPr>
                <w:sz w:val="1"/>
                <w:szCs w:val="1"/>
                <w:color w:val="auto"/>
              </w:rPr>
            </w:pPr>
          </w:p>
        </w:tc>
      </w:tr>
      <w:tr>
        <w:trPr>
          <w:trHeight w:val="209"/>
        </w:trPr>
        <w:tc>
          <w:tcPr>
            <w:tcW w:w="65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90,637</w:t>
            </w:r>
          </w:p>
        </w:tc>
        <w:tc>
          <w:tcPr>
            <w:tcW w:w="240" w:type="dxa"/>
            <w:vAlign w:val="bottom"/>
          </w:tcPr>
          <w:p>
            <w:pPr>
              <w:spacing w:after="0"/>
              <w:rPr>
                <w:sz w:val="18"/>
                <w:szCs w:val="18"/>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85,048</w:t>
            </w:r>
          </w:p>
        </w:tc>
        <w:tc>
          <w:tcPr>
            <w:tcW w:w="220" w:type="dxa"/>
            <w:vAlign w:val="bottom"/>
          </w:tcPr>
          <w:p>
            <w:pPr>
              <w:spacing w:after="0"/>
              <w:rPr>
                <w:sz w:val="18"/>
                <w:szCs w:val="18"/>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7%</w:t>
            </w:r>
          </w:p>
        </w:tc>
      </w:tr>
      <w:tr>
        <w:trPr>
          <w:trHeight w:val="20"/>
        </w:trPr>
        <w:tc>
          <w:tcPr>
            <w:tcW w:w="150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-170815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7008495</wp:posOffset>
            </wp:positionH>
            <wp:positionV relativeFrom="paragraph">
              <wp:posOffset>-170815</wp:posOffset>
            </wp:positionV>
            <wp:extent cx="12890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74"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w:t>
      </w:r>
      <w:r>
        <w:rPr>
          <w:rFonts w:ascii="Times New Roman" w:cs="Times New Roman" w:eastAsia="Times New Roman" w:hAnsi="Times New Roman"/>
          <w:sz w:val="18"/>
          <w:szCs w:val="18"/>
          <w:color w:val="auto"/>
        </w:rPr>
        <w:t>Our principal R&amp;D activities have focused on the expansion and integration of new products and releases,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cloud-based solutions, while expanding the product footprint of our software solution suites in Supply Chain, Demand Forecasting and Replenishment, Omnichannel, and POS. R&amp;D expenses primarily consist of salaries and other personnel-related costs for personnel involved in our R&amp;D activities. R&amp;D expenses for the quarter ended March 31, 2026 increased by $2.0 million compared to the same quarter of 2025 principally due to a $1.3 million increase in compensation and other personnel-related expenses and a $0.4 million increase in performance-based compensation expense.</w:t>
      </w:r>
    </w:p>
    <w:p>
      <w:pPr>
        <w:spacing w:after="0" w:line="179" w:lineRule="exact"/>
        <w:rPr>
          <w:sz w:val="20"/>
          <w:szCs w:val="20"/>
          <w:color w:val="auto"/>
        </w:rPr>
      </w:pPr>
    </w:p>
    <w:p>
      <w:pPr>
        <w:ind w:right="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Sales and Marketing. </w:t>
      </w:r>
      <w:r>
        <w:rPr>
          <w:rFonts w:ascii="Times New Roman" w:cs="Times New Roman" w:eastAsia="Times New Roman" w:hAnsi="Times New Roman"/>
          <w:sz w:val="18"/>
          <w:szCs w:val="18"/>
          <w:color w:val="auto"/>
        </w:rPr>
        <w:t>Sales and marketing expenses include salaries, commissions, travel and other personnel-related costs and the costs of 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marketing and alliance programs and related activities. Sales and marketing expenses increased $6.7 million in the quarter ended March 31, 2026 compared to the same quarter in the prior year primarily due to $2.8 million increase in compensation and other personnel-related expenses, a $2.3 million increase in performance-based compensation expense, and a $1.2 million increase in marketing and campaign program expenses.</w:t>
      </w:r>
    </w:p>
    <w:p>
      <w:pPr>
        <w:spacing w:after="0" w:line="176" w:lineRule="exact"/>
        <w:rPr>
          <w:sz w:val="20"/>
          <w:szCs w:val="20"/>
          <w:color w:val="auto"/>
        </w:rPr>
      </w:pPr>
    </w:p>
    <w:p>
      <w:pPr>
        <w:jc w:val="both"/>
        <w:ind w:right="20" w:firstLine="50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(G&amp;A). </w:t>
      </w:r>
      <w:r>
        <w:rPr>
          <w:rFonts w:ascii="Times New Roman" w:cs="Times New Roman" w:eastAsia="Times New Roman" w:hAnsi="Times New Roman"/>
          <w:sz w:val="18"/>
          <w:szCs w:val="18"/>
          <w:color w:val="auto"/>
        </w:rPr>
        <w:t>G&amp;A expenses consist primarily of salaries and other personnel-related costs of executive, financial, human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resources, information technology, and administrative personnel, as well as facilities, legal, insurance, accounting, and other administrative expenses. G&amp;A expenses decreased $0.5 million in the current year quarter compared to the same quarter in the prior year primarily due to a $2.8 million decrease in stock compensation expense, a $3.0 million decrease in</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 w:name="page21"/>
    <w:bookmarkEnd w:id="20"/>
    <w:p>
      <w:pPr>
        <w:ind w:right="140"/>
        <w:spacing w:after="0" w:line="266" w:lineRule="auto"/>
        <w:rPr>
          <w:sz w:val="20"/>
          <w:szCs w:val="20"/>
          <w:color w:val="auto"/>
        </w:rPr>
      </w:pPr>
      <w:r>
        <w:rPr>
          <w:rFonts w:ascii="Times New Roman" w:cs="Times New Roman" w:eastAsia="Times New Roman" w:hAnsi="Times New Roman"/>
          <w:sz w:val="18"/>
          <w:szCs w:val="18"/>
          <w:color w:val="auto"/>
        </w:rPr>
        <w:t>signing bonus expense, and a $0.8 million decrease in recruiting fees, all of which were related to the hiring of our chief executive officer in the prior year period. These decreases are partially offset by a $3.8 million increase in benefits expense for a prior period insurance recovery on an unusual health insurance claim, a $1.6 million increase in professional fees, and a $0.4 million increase in internal-use software costs.</w:t>
      </w:r>
    </w:p>
    <w:p>
      <w:pPr>
        <w:spacing w:after="0" w:line="172" w:lineRule="exact"/>
        <w:rPr>
          <w:sz w:val="20"/>
          <w:szCs w:val="20"/>
          <w:color w:val="auto"/>
        </w:rPr>
      </w:pPr>
    </w:p>
    <w:p>
      <w:pPr>
        <w:ind w:right="34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w:t>
      </w:r>
      <w:r>
        <w:rPr>
          <w:rFonts w:ascii="Times New Roman" w:cs="Times New Roman" w:eastAsia="Times New Roman" w:hAnsi="Times New Roman"/>
          <w:sz w:val="18"/>
          <w:szCs w:val="18"/>
          <w:color w:val="auto"/>
        </w:rPr>
        <w:t>Depreciation and amortization of intangibles and software expense for the first quarter of 2026 and 2025 was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$1.8 million and $1.5 million,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Operating Income</w:t>
      </w:r>
    </w:p>
    <w:p>
      <w:pPr>
        <w:spacing w:after="0" w:line="121"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Operating income in the first quarter of 2026 was $64.9 million compared to $63.2 million in the same quarter in the prior year. Operating margin was 23.0% for the first quarter of 2026 versus 24.0% for the same quarter in the prior year. Operating income increased primarily due to increased cloud subscriptions revenue, and operating margin decreased primarily due to increased sales and marketing expenses.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Income Taxes</w:t>
            </w:r>
          </w:p>
        </w:tc>
        <w:tc>
          <w:tcPr>
            <w:tcW w:w="2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44"/>
        </w:trPr>
        <w:tc>
          <w:tcPr>
            <w:tcW w:w="2460" w:type="dxa"/>
            <w:vAlign w:val="bottom"/>
            <w:tcBorders>
              <w:top w:val="single" w:sz="8" w:color="auto"/>
            </w:tcBorders>
          </w:tcPr>
          <w:p>
            <w:pPr>
              <w:spacing w:after="0"/>
              <w:rPr>
                <w:sz w:val="24"/>
                <w:szCs w:val="24"/>
                <w:color w:val="auto"/>
              </w:rPr>
            </w:pPr>
          </w:p>
        </w:tc>
        <w:tc>
          <w:tcPr>
            <w:tcW w:w="20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360" w:type="dxa"/>
            <w:vAlign w:val="bottom"/>
            <w:gridSpan w:val="7"/>
          </w:tcPr>
          <w:p>
            <w:pPr>
              <w:jc w:val="right"/>
              <w:ind w:right="118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187"/>
        </w:trPr>
        <w:tc>
          <w:tcPr>
            <w:tcW w:w="24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jc w:val="right"/>
              <w:ind w:right="70"/>
              <w:spacing w:after="0" w:line="188" w:lineRule="exact"/>
              <w:rPr>
                <w:sz w:val="20"/>
                <w:szCs w:val="20"/>
                <w:color w:val="auto"/>
              </w:rPr>
            </w:pPr>
            <w:r>
              <w:rPr>
                <w:rFonts w:ascii="Times New Roman" w:cs="Times New Roman" w:eastAsia="Times New Roman" w:hAnsi="Times New Roman"/>
                <w:sz w:val="18"/>
                <w:szCs w:val="18"/>
                <w:b w:val="1"/>
                <w:bCs w:val="1"/>
                <w:color w:val="auto"/>
              </w:rPr>
              <w:t>% Change vs.</w:t>
            </w:r>
          </w:p>
        </w:tc>
        <w:tc>
          <w:tcPr>
            <w:tcW w:w="180" w:type="dxa"/>
            <w:vAlign w:val="bottom"/>
          </w:tcPr>
          <w:p>
            <w:pPr>
              <w:spacing w:after="0"/>
              <w:rPr>
                <w:sz w:val="16"/>
                <w:szCs w:val="16"/>
                <w:color w:val="auto"/>
              </w:rPr>
            </w:pPr>
          </w:p>
        </w:tc>
      </w:tr>
      <w:tr>
        <w:trPr>
          <w:trHeight w:val="238"/>
        </w:trPr>
        <w:tc>
          <w:tcPr>
            <w:tcW w:w="2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26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220" w:type="dxa"/>
            <w:vAlign w:val="bottom"/>
          </w:tcPr>
          <w:p>
            <w:pPr>
              <w:spacing w:after="0"/>
              <w:rPr>
                <w:sz w:val="20"/>
                <w:szCs w:val="20"/>
                <w:color w:val="auto"/>
              </w:rPr>
            </w:pPr>
          </w:p>
        </w:tc>
        <w:tc>
          <w:tcPr>
            <w:tcW w:w="1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Prior Year</w:t>
            </w:r>
          </w:p>
        </w:tc>
        <w:tc>
          <w:tcPr>
            <w:tcW w:w="180" w:type="dxa"/>
            <w:vAlign w:val="bottom"/>
          </w:tcPr>
          <w:p>
            <w:pPr>
              <w:spacing w:after="0"/>
              <w:rPr>
                <w:sz w:val="20"/>
                <w:szCs w:val="20"/>
                <w:color w:val="auto"/>
              </w:rPr>
            </w:pPr>
          </w:p>
        </w:tc>
      </w:tr>
      <w:tr>
        <w:trPr>
          <w:trHeight w:val="232"/>
        </w:trPr>
        <w:tc>
          <w:tcPr>
            <w:tcW w:w="24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(in</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w w:val="76"/>
              </w:rPr>
              <w:t>thousands)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4"/>
        </w:trPr>
        <w:tc>
          <w:tcPr>
            <w:tcW w:w="246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6"/>
        </w:trPr>
        <w:tc>
          <w:tcPr>
            <w:tcW w:w="4540" w:type="dxa"/>
            <w:vAlign w:val="bottom"/>
            <w:gridSpan w:val="2"/>
            <w:shd w:val="clear" w:color="auto" w:fill="CCFFCC"/>
          </w:tcPr>
          <w:p>
            <w:pPr>
              <w:spacing w:after="0"/>
              <w:rPr>
                <w:sz w:val="20"/>
                <w:szCs w:val="20"/>
                <w:color w:val="auto"/>
              </w:rPr>
            </w:pPr>
            <w:r>
              <w:rPr>
                <w:rFonts w:ascii="Times New Roman" w:cs="Times New Roman" w:eastAsia="Times New Roman" w:hAnsi="Times New Roman"/>
                <w:sz w:val="18"/>
                <w:szCs w:val="18"/>
                <w:color w:val="auto"/>
              </w:rPr>
              <w:t>Other income, net</w:t>
            </w:r>
          </w:p>
        </w:tc>
        <w:tc>
          <w:tcPr>
            <w:tcW w:w="2340" w:type="dxa"/>
            <w:vAlign w:val="bottom"/>
            <w:gridSpan w:val="2"/>
            <w:shd w:val="clear" w:color="auto" w:fill="CCFFC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4,337</w:t>
            </w:r>
          </w:p>
        </w:tc>
        <w:tc>
          <w:tcPr>
            <w:tcW w:w="700" w:type="dxa"/>
            <w:vAlign w:val="bottom"/>
            <w:gridSpan w:val="2"/>
            <w:shd w:val="clear" w:color="auto" w:fill="CCFFCC"/>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760" w:type="dxa"/>
            <w:vAlign w:val="bottom"/>
            <w:gridSpan w:val="3"/>
            <w:shd w:val="clear" w:color="auto" w:fill="CCFFCC"/>
          </w:tcPr>
          <w:p>
            <w:pPr>
              <w:jc w:val="right"/>
              <w:ind w:right="20"/>
              <w:spacing w:after="0"/>
              <w:rPr>
                <w:sz w:val="20"/>
                <w:szCs w:val="20"/>
                <w:color w:val="auto"/>
              </w:rPr>
            </w:pPr>
            <w:r>
              <w:rPr>
                <w:rFonts w:ascii="Times New Roman" w:cs="Times New Roman" w:eastAsia="Times New Roman" w:hAnsi="Times New Roman"/>
                <w:sz w:val="18"/>
                <w:szCs w:val="18"/>
                <w:color w:val="auto"/>
              </w:rPr>
              <w:t>224%</w:t>
            </w:r>
          </w:p>
        </w:tc>
      </w:tr>
      <w:tr>
        <w:trPr>
          <w:trHeight w:val="238"/>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19,979</w:t>
            </w: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11,927</w:t>
            </w:r>
          </w:p>
        </w:tc>
        <w:tc>
          <w:tcPr>
            <w:tcW w:w="1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bl>
    <w:p>
      <w:pPr>
        <w:spacing w:after="0" w:line="171" w:lineRule="exact"/>
        <w:rPr>
          <w:sz w:val="20"/>
          <w:szCs w:val="20"/>
          <w:color w:val="auto"/>
        </w:rPr>
      </w:pPr>
    </w:p>
    <w:p>
      <w:pPr>
        <w:ind w:right="60" w:firstLine="509"/>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Other income, net. </w:t>
      </w:r>
      <w:r>
        <w:rPr>
          <w:rFonts w:ascii="Times New Roman" w:cs="Times New Roman" w:eastAsia="Times New Roman" w:hAnsi="Times New Roman"/>
          <w:sz w:val="18"/>
          <w:szCs w:val="18"/>
          <w:color w:val="auto"/>
        </w:rPr>
        <w:t>Other income, net primarily includes interest income, foreign currency gains and losses, and other non-operating expenses.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Other income, net increased $3.0 million in the first quarter of 2026 compared to the same quarter in the prior year due to a $3.1 million increase in foreign currency gains. The increase of foreign currency gains is mainly due to gains or losses on intercompany transactions denominated in foreign currencies with subsidiaries due to the fluctuation of the U.S. dollar relative to other foreign currencies, primarily the Indian Rupee. We recorded net foreign currency gains of $3.2 million in the first quarter of 2026, and gains of $0.1 million in the same quarter in the prior year.</w:t>
      </w:r>
    </w:p>
    <w:p>
      <w:pPr>
        <w:spacing w:after="0" w:line="179" w:lineRule="exact"/>
        <w:rPr>
          <w:sz w:val="20"/>
          <w:szCs w:val="20"/>
          <w:color w:val="auto"/>
        </w:rPr>
      </w:pPr>
    </w:p>
    <w:p>
      <w:pPr>
        <w:ind w:right="360" w:firstLine="50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 provision. </w:t>
      </w:r>
      <w:r>
        <w:rPr>
          <w:rFonts w:ascii="Times New Roman" w:cs="Times New Roman" w:eastAsia="Times New Roman" w:hAnsi="Times New Roman"/>
          <w:sz w:val="18"/>
          <w:szCs w:val="18"/>
          <w:color w:val="auto"/>
        </w:rPr>
        <w:t>Our effective income tax rate was 28.8% and 18.5% for the quarters ended March 31, 2026 and 2025, respectively.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increase in the effective tax rate for the three months ended March 31, 2026 is due to a decrease of stock-based compensation benefits.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Liquidity and Capital Resources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During the first three months of 2026, we funded our business exclusively through cash generated from operations. Our cash and cash equivalents as of March 31, 2026 included $115.1 million held in the U.S. and $111.0 million held by our foreign subsidiaries. We believe that our cash balances in the U.S. are sufficient to fund our U.S. operations. In the future, if we elect to repatriate the unremitted earnings of our foreign subsidiaries, we would not be subject to additional U.S. income taxes on such earnings, but we could be subject to additional local withholding taxes.</w:t>
      </w:r>
    </w:p>
    <w:p>
      <w:pPr>
        <w:spacing w:after="0" w:line="7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Cash flow from operating activities totaled $84.0 million and $75.3 million in the three months ended March 31, 2026 and 2025, respectively. Typical factors affecting our cash provided by operating activities include our level of revenue and earnings for the period, the timing and amount of employee bonus and income tax payments, and the timing of cash collections from our customers which is our primary source of operating cash flow. Cash flow from operating activities for the three months ended March 31, 2026 increased $8.7 million compared to the same period in the prior year, which is mainly due the timing of cash collections from our customers and lower bonus payments.</w:t>
      </w:r>
    </w:p>
    <w:p>
      <w:pPr>
        <w:spacing w:after="0" w:line="75"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Cash flow used in investing activities totaled $4.1 million and $0.9 million in the three months ended March 31, 2026 and 2025, respectively. Our investing activities for both the three months ended March 31, 2026 and 2025 consisted of capital spending to support company growth.</w:t>
      </w:r>
    </w:p>
    <w:p>
      <w:pPr>
        <w:spacing w:after="0" w:line="54"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Cash flow used in financing activities totaled $179.4 million and $136.4 million in the three months ended March 31, 2026 and 2025, respectively. The use of cash for financing activities in both periods was to purchase our common stock, including shares withheld for taxes due upon vesting of restricted stock of $29.4 million and $36.4 million in the three months ended March 31, 2026 and 2025, respectively.</w:t>
      </w:r>
    </w:p>
    <w:p>
      <w:pPr>
        <w:spacing w:after="0" w:line="68"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Periodically, opportunities may arise to grow our business through the acquisition of complementary products, and technologies. Any material acquisition could result in a decrease to our working capital depending on the amount, timing, and nature of the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 w:name="page22"/>
    <w:bookmarkEnd w:id="21"/>
    <w:p>
      <w:pPr>
        <w:ind w:right="20"/>
        <w:spacing w:after="0" w:line="256" w:lineRule="auto"/>
        <w:rPr>
          <w:sz w:val="20"/>
          <w:szCs w:val="20"/>
          <w:color w:val="auto"/>
        </w:rPr>
      </w:pPr>
      <w:r>
        <w:rPr>
          <w:rFonts w:ascii="Times New Roman" w:cs="Times New Roman" w:eastAsia="Times New Roman" w:hAnsi="Times New Roman"/>
          <w:sz w:val="18"/>
          <w:szCs w:val="18"/>
          <w:color w:val="auto"/>
        </w:rPr>
        <w:t>consideration to be paid. We believe that our existing cash will be sufficient to meet our working capital and capital expenditure needs at least for the next twelve months, although there can be no assurance that this will be the case. For the remainder of 2026, we anticipate that our priorities for use of cash will be similar to prior years, with our first priority being continued investment in product development and profitably investing in our business to extend our market leadership. We will continue to weigh our share repurchase options against cash for acquisitions and investing in the business. We will also continue to evaluate acquisition opportunities that are complementary to our product footprint and technology direction. At this time, we do not anticipate any borrowing requirements for the remainder of 2026 for general corporate purposes.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Contractual Obligations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Our principal commitments consist of multiple non-cancellable contracts for cloud infrastructure services and obligations under operating leases. As of March 31, 2026, our cloud infrastructure obligations are approximately $188.5 million over the next 5 years. We also enter into non-cancellable subscriptions in the ordinary course of business for internal software to support our operations. Our obligations, as of March 31, 2026, are approximately $28.2 million over the next 7 years. We expect to fulfill all these commitments from our working capital.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the first three months of 2026, there were no significant changes to our critical accounting policies and estimates from those disclosed in the section “Management’s Discussion and Analysis of Financial Condition and Results of Operations” in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Certain statements contained in this filing are “forward-looking statements” within the meaning of the Private Securities Litigation Reform Act of 1995, including but not limited to statements related to expectations about global macroeconomic trends and industry developments, plans for future business development activities, anticipated costs of revenues, product mix and service revenues, research and development, selling, general and administrative activities, and liquidity and capital needs and resources. When used in this quarterly report, the words “may,” “expect,” “forecast,” “anticipate,” “intend,” “plan,” "design", “believe,” “could,” “seek,” “estimate,” “project,” and similar expressions are generally intended to identify forward-looking statements. Undue reliance should not be placed on these forward-looking statements, which reflect opinions only as of the date of this quarterly report. Such forward-looking statements are subject to risks, uncertainties, and other factors that could cause actual results to differ materially from future results expressed or implied by such forward-looking statements. Investors are cautioned that forward-looking statements are not guarantees of future performance and involve risks and uncertainties, and that actual results may differ materially from those contemplated by such forward-looking statements.</w:t>
      </w:r>
    </w:p>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Some of the factors that could cause actual results to differ materially from the results discussed in forward-looking statements include:</w:t>
      </w:r>
    </w:p>
    <w:p>
      <w:pPr>
        <w:spacing w:after="0" w:line="117" w:lineRule="exact"/>
        <w:rPr>
          <w:sz w:val="20"/>
          <w:szCs w:val="20"/>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ongoing disruption and transformation in our vertical markets;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political and market conditions, including market volatility, interest and inflation rates, trends and fluctuations of each, and efforts to control them;</w:t>
      </w:r>
    </w:p>
    <w:p>
      <w:pPr>
        <w:spacing w:after="0" w:line="53"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geo-political developments, including the military conflict between the United States, Israel, and Iran, as well as the ongoing war between Russia and Ukraine, political instability, civil unrest, economic sanctions, and terrorist activities;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highly skilled employees;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single line of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generating revenue from cloud subscriptions and software licenses to drive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undetected errors or “bugs” in our software;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 of defects, delays or interruptions in our cloud subscription services;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compromises of our data protection and IT security measures;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our use of generative and agentic artificial intelligence;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large system implementations;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possible liability to customers if our products fail;</w:t>
      </w:r>
    </w:p>
    <w:p>
      <w:pPr>
        <w:spacing w:after="0" w:line="25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2" w:name="page23"/>
    <w:bookmarkEnd w:id="22"/>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difficulty of predicting operating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possible effects on international commerce of new or increased tariffs, or a “trade war;”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in federal government priorities and spending, including on our or our customers’ federal government contracts;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litigation results;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to maintain high quality professional service capabilities;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of international operations, including foreign currency exchange risk;</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research and developments investments may not yield sufficient returns;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 sales cycle associated with our products;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continually improve our technology;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managing growth;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party and open source software;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for our products to interoperate with other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need to protect our intellectual property, and our exposure to intellectual property claims of others;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weather events, and disease outbreaks, pandemics, or other major public health crises; and</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other risks described under the heading “Risk Factors” in our Annual Report on Form 10-K for the year ended December 31, 2025, as these may be further updated from time to time in subsequent quarterly reports.</w:t>
      </w:r>
    </w:p>
    <w:p>
      <w:pPr>
        <w:spacing w:after="0" w:line="54"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We undertake no obligation to update or revise forward-looking statements to reflect changed assumptions, the occurrence of unanticipated events or changes in future operating results.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Quantitative and Qualitative Disclosures about Market Risk.</w:t>
      </w:r>
    </w:p>
    <w:p>
      <w:pPr>
        <w:spacing w:after="0" w:line="121"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There were no material changes to the Quantitative and Qualitative Disclosures about Market Risk previously disclosed in our annual report on Form 10-K for the year ended December 31, 2025.</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designed to provide reasonable assurance that information required to be disclosed in reports filed under the Securities Exchange Act of 1934, as amended,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w:t>
      </w:r>
    </w:p>
    <w:p>
      <w:pPr>
        <w:spacing w:after="0" w:line="72"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No system of controls, no matter how well designed and operated, can provide absolute assurance that the objectives of the system of controls are met, and no evaluation of controls can provide absolute assurance that the system of controls has operated effectively in all cases. Our disclosure controls and procedures however are designed to provide reasonable assurance that the objectives of disclosure controls and procedures are met.</w:t>
      </w:r>
    </w:p>
    <w:p>
      <w:pPr>
        <w:spacing w:after="0" w:line="68"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As of the end of the period covered by this report, our management evaluated, with the participation of our Chief Executive Officer and Chief Financial Officer, the effectiveness of our disclosure controls and procedures. Based on the evaluation, our Chief Executive Officer and Chief Financial Officer concluded that, as of the end of the period covered by this report, our disclosure controls and procedures were effective to provide reasonable assurance that the objectives of disclosure controls and procedures are met.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2026, there were no changes in our internal control over financial reporting that have materially affected, or are reasonably likely to materially affect, our internal control over financial reporting, including any corrective actions with regard to material weaknesses.</w:t>
      </w:r>
    </w:p>
    <w:p>
      <w:pPr>
        <w:spacing w:after="0" w:line="200" w:lineRule="exact"/>
        <w:rPr>
          <w:sz w:val="20"/>
          <w:szCs w:val="20"/>
          <w:color w:val="auto"/>
        </w:rPr>
      </w:pPr>
    </w:p>
    <w:p>
      <w:pPr>
        <w:spacing w:after="0" w:line="21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093" w:right="4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From time to time, we are involved in litigation relating to claims arising out of the ordinary course of business, and occasionally legal proceedings not in the ordinary course.</w:t>
      </w:r>
    </w:p>
    <w:p>
      <w:pPr>
        <w:spacing w:after="0" w:line="54"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Many of our installations involve products that are critical to the operations of our clients’ businesses. Any failure in one of our products could result in a claim for substantial damages against us, regardless of our responsibility for such failure. Although we attempt to limit contractually our liability for damages arising from product failures or negligent acts or omissions, there can be no assurance that the limitations of liability set forth in our contracts will be enforceable in all instances.</w:t>
      </w:r>
    </w:p>
    <w:p>
      <w:pPr>
        <w:spacing w:after="0" w:line="7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Although litigation and other legal proceeding outcomes are inherently difficult to predict, we do not currently believe we are a party to any legal proceeding the result of which is likely to have a material adverse impact on our business, financial position, results of operations, or cash flows. Descriptions of a lawsuit to which we are currently a party is included in Note 7 to the condensed consolidated financial statements in Part I, Item 1 of this quarterly report on Form 10-Q and are incorporated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information set forth below and the other information set forth in this report, you should carefully consider the risk factors disclosed in Item 1A, “Risk Factors,” of our annual report on Form 10-K for the year ended December 31, 2025.</w:t>
      </w:r>
    </w:p>
    <w:p>
      <w:pPr>
        <w:spacing w:after="0" w:line="50"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The conflict involving the United States, Israel, and Iran and related geopolitical instability may adversely affect our business. </w:t>
      </w:r>
      <w:r>
        <w:rPr>
          <w:rFonts w:ascii="Times New Roman" w:cs="Times New Roman" w:eastAsia="Times New Roman" w:hAnsi="Times New Roman"/>
          <w:sz w:val="18"/>
          <w:szCs w:val="18"/>
          <w:color w:val="auto"/>
        </w:rPr>
        <w:t>A military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conflict involving the United States, Israel, and Iran commenced in February 2026, which has led to disruptions in shipping through the Strait of Hormuz. The conflict and any further escalation, including additional military actions, retaliatory measures, sanctions, disruptions to trade or transportation routes, cyberattacks, or other governmental or market responses, has and could continue to lead to significant disruption of global energy supplies and increases in global energy prices, heighten inflationary pressures, adversely affect global supply chains, energy markets, commodity prices, currency exchange rates, financial markets and overall macroeconomic conditions. In addition, the conflict may adversely impact current or potential customer spending patterns in the markets in which we operate.</w:t>
      </w:r>
    </w:p>
    <w:p>
      <w:pPr>
        <w:spacing w:after="0" w:line="18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regarding common stock purchases under our publicly announced repurchase program for the quarter ended March 31, 2026.</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2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Maximum Number (or</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20" w:type="dxa"/>
            <w:vAlign w:val="bottom"/>
          </w:tcPr>
          <w:p>
            <w:pPr>
              <w:spacing w:after="0"/>
              <w:rPr>
                <w:sz w:val="18"/>
                <w:szCs w:val="18"/>
                <w:color w:val="auto"/>
              </w:rPr>
            </w:pPr>
          </w:p>
        </w:tc>
        <w:tc>
          <w:tcPr>
            <w:tcW w:w="21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Average Price</w:t>
            </w: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2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Value) of Shares that May</w:t>
            </w:r>
          </w:p>
        </w:tc>
      </w:tr>
      <w:tr>
        <w:trPr>
          <w:trHeight w:val="216"/>
        </w:trPr>
        <w:tc>
          <w:tcPr>
            <w:tcW w:w="3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60" w:type="dxa"/>
            <w:vAlign w:val="bottom"/>
          </w:tcPr>
          <w:p>
            <w:pPr>
              <w:spacing w:after="0"/>
              <w:rPr>
                <w:sz w:val="18"/>
                <w:szCs w:val="18"/>
                <w:color w:val="auto"/>
              </w:rPr>
            </w:pPr>
          </w:p>
        </w:tc>
        <w:tc>
          <w:tcPr>
            <w:tcW w:w="120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8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22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Yet Be Purchased Under</w:t>
            </w:r>
          </w:p>
        </w:tc>
      </w:tr>
      <w:tr>
        <w:trPr>
          <w:trHeight w:val="238"/>
        </w:trPr>
        <w:tc>
          <w:tcPr>
            <w:tcW w:w="3720" w:type="dxa"/>
            <w:vAlign w:val="bottom"/>
            <w:tcBorders>
              <w:bottom w:val="single" w:sz="8" w:color="auto"/>
            </w:tcBorders>
          </w:tcPr>
          <w:p>
            <w:pPr>
              <w:ind w:left="160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20" w:type="dxa"/>
            <w:vAlign w:val="bottom"/>
          </w:tcPr>
          <w:p>
            <w:pPr>
              <w:spacing w:after="0"/>
              <w:rPr>
                <w:sz w:val="20"/>
                <w:szCs w:val="20"/>
                <w:color w:val="auto"/>
              </w:rPr>
            </w:pPr>
          </w:p>
        </w:tc>
        <w:tc>
          <w:tcPr>
            <w:tcW w:w="170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22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the Plans or Programs</w:t>
            </w:r>
          </w:p>
        </w:tc>
        <w:tc>
          <w:tcPr>
            <w:tcW w:w="100" w:type="dxa"/>
            <w:vAlign w:val="bottom"/>
          </w:tcPr>
          <w:p>
            <w:pPr>
              <w:spacing w:after="0"/>
              <w:rPr>
                <w:sz w:val="20"/>
                <w:szCs w:val="20"/>
                <w:color w:val="auto"/>
              </w:rPr>
            </w:pPr>
          </w:p>
        </w:tc>
      </w:tr>
      <w:tr>
        <w:trPr>
          <w:trHeight w:val="210"/>
        </w:trPr>
        <w:tc>
          <w:tcPr>
            <w:tcW w:w="3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January 1 - January 31, 2026</w:t>
            </w:r>
          </w:p>
        </w:tc>
        <w:tc>
          <w:tcPr>
            <w:tcW w:w="18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500,000,000</w:t>
            </w:r>
          </w:p>
        </w:tc>
      </w:tr>
      <w:tr>
        <w:trPr>
          <w:trHeight w:val="216"/>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 2026</w:t>
            </w:r>
          </w:p>
        </w:tc>
        <w:tc>
          <w:tcPr>
            <w:tcW w:w="1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478,193</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143.19</w:t>
            </w: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478,193</w:t>
            </w:r>
          </w:p>
        </w:tc>
        <w:tc>
          <w:tcPr>
            <w:tcW w:w="12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431,526,056</w:t>
            </w:r>
          </w:p>
        </w:tc>
      </w:tr>
      <w:tr>
        <w:trPr>
          <w:trHeight w:val="216"/>
        </w:trPr>
        <w:tc>
          <w:tcPr>
            <w:tcW w:w="37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March 1 - March 31, 2026</w:t>
            </w:r>
          </w:p>
        </w:tc>
        <w:tc>
          <w:tcPr>
            <w:tcW w:w="120" w:type="dxa"/>
            <w:vAlign w:val="bottom"/>
            <w:shd w:val="clear" w:color="auto" w:fill="CCFFCC"/>
          </w:tcPr>
          <w:p>
            <w:pPr>
              <w:spacing w:after="0"/>
              <w:rPr>
                <w:sz w:val="18"/>
                <w:szCs w:val="18"/>
                <w:color w:val="auto"/>
              </w:rPr>
            </w:pPr>
          </w:p>
        </w:tc>
        <w:tc>
          <w:tcPr>
            <w:tcW w:w="17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565,119</w:t>
            </w:r>
          </w:p>
        </w:tc>
        <w:tc>
          <w:tcPr>
            <w:tcW w:w="24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0" w:type="dxa"/>
            <w:vAlign w:val="bottom"/>
            <w:gridSpan w:val="2"/>
            <w:shd w:val="clear" w:color="auto" w:fill="CCFFCC"/>
          </w:tcPr>
          <w:p>
            <w:pPr>
              <w:jc w:val="right"/>
              <w:ind w:right="220"/>
              <w:spacing w:after="0"/>
              <w:rPr>
                <w:sz w:val="20"/>
                <w:szCs w:val="20"/>
                <w:color w:val="auto"/>
              </w:rPr>
            </w:pPr>
            <w:r>
              <w:rPr>
                <w:rFonts w:ascii="Times New Roman" w:cs="Times New Roman" w:eastAsia="Times New Roman" w:hAnsi="Times New Roman"/>
                <w:sz w:val="18"/>
                <w:szCs w:val="18"/>
                <w:color w:val="auto"/>
              </w:rPr>
              <w:t>144.23</w:t>
            </w:r>
          </w:p>
        </w:tc>
        <w:tc>
          <w:tcPr>
            <w:tcW w:w="1880" w:type="dxa"/>
            <w:vAlign w:val="bottom"/>
            <w:gridSpan w:val="2"/>
            <w:shd w:val="clear" w:color="auto" w:fill="CCFFCC"/>
          </w:tcPr>
          <w:p>
            <w:pPr>
              <w:jc w:val="right"/>
              <w:ind w:right="200"/>
              <w:spacing w:after="0"/>
              <w:rPr>
                <w:sz w:val="20"/>
                <w:szCs w:val="20"/>
                <w:color w:val="auto"/>
              </w:rPr>
            </w:pPr>
            <w:r>
              <w:rPr>
                <w:rFonts w:ascii="Times New Roman" w:cs="Times New Roman" w:eastAsia="Times New Roman" w:hAnsi="Times New Roman"/>
                <w:sz w:val="18"/>
                <w:szCs w:val="18"/>
                <w:color w:val="auto"/>
              </w:rPr>
              <w:t>565,119</w:t>
            </w:r>
          </w:p>
        </w:tc>
        <w:tc>
          <w:tcPr>
            <w:tcW w:w="120" w:type="dxa"/>
            <w:vAlign w:val="bottom"/>
            <w:shd w:val="clear" w:color="auto" w:fill="CCFFCC"/>
          </w:tcPr>
          <w:p>
            <w:pPr>
              <w:spacing w:after="0"/>
              <w:rPr>
                <w:sz w:val="18"/>
                <w:szCs w:val="18"/>
                <w:color w:val="auto"/>
              </w:rPr>
            </w:pPr>
          </w:p>
        </w:tc>
        <w:tc>
          <w:tcPr>
            <w:tcW w:w="210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color w:val="auto"/>
              </w:rPr>
              <w:t>350,016,912</w:t>
            </w:r>
          </w:p>
        </w:tc>
      </w:tr>
      <w:tr>
        <w:trPr>
          <w:trHeight w:val="20"/>
        </w:trPr>
        <w:tc>
          <w:tcPr>
            <w:tcW w:w="37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24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22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000" w:type="dxa"/>
            <w:vAlign w:val="bottom"/>
            <w:shd w:val="clear" w:color="auto" w:fill="CCFFCC"/>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r>
        <w:trPr>
          <w:trHeight w:val="209"/>
        </w:trPr>
        <w:tc>
          <w:tcPr>
            <w:tcW w:w="37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1,043,312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1,043,312</w:t>
            </w:r>
          </w:p>
        </w:tc>
        <w:tc>
          <w:tcPr>
            <w:tcW w:w="12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-170815</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5594350</wp:posOffset>
            </wp:positionH>
            <wp:positionV relativeFrom="paragraph">
              <wp:posOffset>-170815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tab/>
        <w:t>Defaults Upon Senior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events occurred during the quarter covered by this report that would require a response to this item.</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121" w:lineRule="exact"/>
        <w:rPr>
          <w:sz w:val="20"/>
          <w:szCs w:val="20"/>
          <w:color w:val="auto"/>
        </w:rPr>
      </w:pPr>
    </w:p>
    <w:p>
      <w:pPr>
        <w:jc w:val="both"/>
        <w:ind w:right="100" w:firstLine="509"/>
        <w:spacing w:after="0" w:line="282" w:lineRule="auto"/>
        <w:rPr>
          <w:sz w:val="20"/>
          <w:szCs w:val="20"/>
          <w:color w:val="auto"/>
        </w:rPr>
      </w:pPr>
      <w:r>
        <w:rPr>
          <w:rFonts w:ascii="Times New Roman" w:cs="Times New Roman" w:eastAsia="Times New Roman" w:hAnsi="Times New Roman"/>
          <w:sz w:val="18"/>
          <w:szCs w:val="18"/>
          <w:color w:val="auto"/>
        </w:rPr>
        <w:t>During the quarter ended March 31, 2026, no director or officer of the Company adopted or terminated a "Rule 10b5-1 trading agreement" or "non-Rule 10b5-1 trading arrangement," as each term is defined in item 408(a) of Regulation S-K.</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2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97"/>
        </w:trPr>
        <w:tc>
          <w:tcPr>
            <w:tcW w:w="860" w:type="dxa"/>
            <w:vAlign w:val="bottom"/>
          </w:tcPr>
          <w:p>
            <w:pPr>
              <w:spacing w:after="0"/>
              <w:rPr>
                <w:rFonts w:ascii="Times New Roman" w:cs="Times New Roman" w:eastAsia="Times New Roman" w:hAnsi="Times New Roman"/>
                <w:sz w:val="18"/>
                <w:szCs w:val="18"/>
                <w:color w:val="0000FF"/>
                <w:w w:val="92"/>
              </w:rPr>
            </w:pPr>
            <w:hyperlink r:id="rId161">
              <w:r>
                <w:rPr>
                  <w:rFonts w:ascii="Times New Roman" w:cs="Times New Roman" w:eastAsia="Times New Roman" w:hAnsi="Times New Roman"/>
                  <w:sz w:val="18"/>
                  <w:szCs w:val="18"/>
                  <w:color w:val="0000FF"/>
                  <w:w w:val="92"/>
                </w:rPr>
                <w:t>Exhibit 10.1</w:t>
              </w:r>
            </w:hyperlink>
          </w:p>
        </w:tc>
        <w:tc>
          <w:tcPr>
            <w:tcW w:w="860" w:type="dxa"/>
            <w:vAlign w:val="bottom"/>
          </w:tcPr>
          <w:p>
            <w:pPr>
              <w:spacing w:after="0"/>
              <w:rPr>
                <w:sz w:val="24"/>
                <w:szCs w:val="24"/>
                <w:color w:val="auto"/>
              </w:rPr>
            </w:pPr>
          </w:p>
        </w:tc>
        <w:tc>
          <w:tcPr>
            <w:tcW w:w="9340" w:type="dxa"/>
            <w:vAlign w:val="bottom"/>
            <w:gridSpan w:val="6"/>
          </w:tcPr>
          <w:p>
            <w:pPr>
              <w:spacing w:after="0"/>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Retirement and Advisory Agreement, dated as of February 24, 2026, by and between Manhattan Associates, Inc. and Dennis B.</w:t>
              </w:r>
            </w:hyperlink>
          </w:p>
        </w:tc>
      </w:tr>
      <w:tr>
        <w:trPr>
          <w:trHeight w:val="20"/>
        </w:trPr>
        <w:tc>
          <w:tcPr>
            <w:tcW w:w="86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52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340" w:type="dxa"/>
            <w:vAlign w:val="bottom"/>
            <w:gridSpan w:val="6"/>
          </w:tcPr>
          <w:p>
            <w:pPr>
              <w:spacing w:after="0" w:line="196" w:lineRule="exact"/>
              <w:rPr>
                <w:rFonts w:ascii="Times New Roman" w:cs="Times New Roman" w:eastAsia="Times New Roman" w:hAnsi="Times New Roman"/>
                <w:sz w:val="18"/>
                <w:szCs w:val="18"/>
                <w:color w:val="0000FF"/>
              </w:rPr>
            </w:pPr>
            <w:hyperlink r:id="rId161">
              <w:r>
                <w:rPr>
                  <w:rFonts w:ascii="Times New Roman" w:cs="Times New Roman" w:eastAsia="Times New Roman" w:hAnsi="Times New Roman"/>
                  <w:sz w:val="18"/>
                  <w:szCs w:val="18"/>
                  <w:color w:val="0000FF"/>
                </w:rPr>
                <w:t>Story. (incorporated by reference to Exhibit 10.1 to the Company’s Current Report on Form 8-K filed on February 26, 2026)</w:t>
              </w:r>
            </w:hyperlink>
          </w:p>
        </w:tc>
      </w:tr>
      <w:tr>
        <w:trPr>
          <w:trHeight w:val="20"/>
        </w:trPr>
        <w:tc>
          <w:tcPr>
            <w:tcW w:w="8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52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2"/>
              </w:rPr>
              <w:t>Exhibit 31.1</w:t>
            </w:r>
          </w:p>
        </w:tc>
        <w:tc>
          <w:tcPr>
            <w:tcW w:w="860" w:type="dxa"/>
            <w:vAlign w:val="bottom"/>
          </w:tcPr>
          <w:p>
            <w:pPr>
              <w:spacing w:after="0"/>
              <w:rPr>
                <w:sz w:val="24"/>
                <w:szCs w:val="24"/>
                <w:color w:val="auto"/>
              </w:rPr>
            </w:pP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 13a-14(a)/15d-14(a), as adopted pursuant to Section 302 of the</w:t>
            </w:r>
          </w:p>
        </w:tc>
      </w:tr>
      <w:tr>
        <w:trPr>
          <w:trHeight w:val="20"/>
        </w:trPr>
        <w:tc>
          <w:tcPr>
            <w:tcW w:w="86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2040" w:type="dxa"/>
            <w:vAlign w:val="bottom"/>
            <w:tcBorders>
              <w:right w:val="single" w:sz="8" w:color="0000FF"/>
            </w:tcBorders>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52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3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8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2"/>
              </w:rPr>
              <w:t>Exhibit 31.2</w:t>
            </w:r>
          </w:p>
        </w:tc>
        <w:tc>
          <w:tcPr>
            <w:tcW w:w="860" w:type="dxa"/>
            <w:vAlign w:val="bottom"/>
          </w:tcPr>
          <w:p>
            <w:pPr>
              <w:spacing w:after="0"/>
              <w:rPr>
                <w:sz w:val="24"/>
                <w:szCs w:val="24"/>
                <w:color w:val="auto"/>
              </w:rPr>
            </w:pP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 13a-14(a)/15d-14(a), as adopted pursuant to Section 302 of the</w:t>
            </w:r>
          </w:p>
        </w:tc>
      </w:tr>
      <w:tr>
        <w:trPr>
          <w:trHeight w:val="20"/>
        </w:trPr>
        <w:tc>
          <w:tcPr>
            <w:tcW w:w="860" w:type="dxa"/>
            <w:vAlign w:val="bottom"/>
            <w:shd w:val="clear" w:color="auto" w:fill="0000FF"/>
          </w:tcPr>
          <w:p>
            <w:pPr>
              <w:spacing w:after="0" w:line="20" w:lineRule="exact"/>
              <w:rPr>
                <w:sz w:val="1"/>
                <w:szCs w:val="1"/>
                <w:color w:val="auto"/>
              </w:rPr>
            </w:pPr>
          </w:p>
        </w:tc>
        <w:tc>
          <w:tcPr>
            <w:tcW w:w="860" w:type="dxa"/>
            <w:vAlign w:val="bottom"/>
            <w:tcBorders>
              <w:left w:val="single" w:sz="8" w:color="0000FF"/>
            </w:tcBorders>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552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3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r>
      <w:tr>
        <w:trPr>
          <w:trHeight w:val="20"/>
        </w:trPr>
        <w:tc>
          <w:tcPr>
            <w:tcW w:w="860" w:type="dxa"/>
            <w:vAlign w:val="bottom"/>
          </w:tcPr>
          <w:p>
            <w:pPr>
              <w:spacing w:after="0" w:line="20" w:lineRule="exact"/>
              <w:rPr>
                <w:sz w:val="1"/>
                <w:szCs w:val="1"/>
                <w:color w:val="auto"/>
              </w:rPr>
            </w:pPr>
          </w:p>
        </w:tc>
        <w:tc>
          <w:tcPr>
            <w:tcW w:w="860" w:type="dxa"/>
            <w:vAlign w:val="bottom"/>
            <w:tcBorders>
              <w:right w:val="single" w:sz="8" w:color="0000EE"/>
            </w:tcBorders>
          </w:tcPr>
          <w:p>
            <w:pPr>
              <w:spacing w:after="0" w:line="20" w:lineRule="exact"/>
              <w:rPr>
                <w:sz w:val="1"/>
                <w:szCs w:val="1"/>
                <w:color w:val="auto"/>
              </w:rPr>
            </w:pPr>
          </w:p>
        </w:tc>
        <w:tc>
          <w:tcPr>
            <w:tcW w:w="2040" w:type="dxa"/>
            <w:vAlign w:val="bottom"/>
            <w:tcBorders>
              <w:right w:val="single" w:sz="8" w:color="0000EE"/>
            </w:tcBorders>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18"/>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 32*</w:t>
            </w:r>
          </w:p>
        </w:tc>
        <w:tc>
          <w:tcPr>
            <w:tcW w:w="860" w:type="dxa"/>
            <w:vAlign w:val="bottom"/>
          </w:tcPr>
          <w:p>
            <w:pPr>
              <w:spacing w:after="0"/>
              <w:rPr>
                <w:sz w:val="24"/>
                <w:szCs w:val="24"/>
                <w:color w:val="auto"/>
              </w:rPr>
            </w:pP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 pursuant to 18 U.S.C. Section 1350, as adopted pursuant to</w:t>
            </w:r>
          </w:p>
        </w:tc>
      </w:tr>
      <w:tr>
        <w:trPr>
          <w:trHeight w:val="20"/>
        </w:trPr>
        <w:tc>
          <w:tcPr>
            <w:tcW w:w="86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5840" w:type="dxa"/>
            <w:vAlign w:val="bottom"/>
            <w:gridSpan w:val="3"/>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3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720" w:type="dxa"/>
            <w:vAlign w:val="bottom"/>
            <w:tcBorders>
              <w:right w:val="single" w:sz="8" w:color="0000EE"/>
            </w:tcBorders>
            <w:gridSpan w:val="2"/>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5960" w:type="dxa"/>
            <w:vAlign w:val="bottom"/>
            <w:gridSpan w:val="4"/>
          </w:tcPr>
          <w:p>
            <w:pPr>
              <w:spacing w:after="0" w:line="20" w:lineRule="exact"/>
              <w:rPr>
                <w:sz w:val="1"/>
                <w:szCs w:val="1"/>
                <w:color w:val="auto"/>
              </w:rPr>
            </w:pPr>
          </w:p>
        </w:tc>
      </w:tr>
      <w:tr>
        <w:trPr>
          <w:trHeight w:val="340"/>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101.INS</w:t>
            </w: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its XBRL tags are</w:t>
            </w:r>
          </w:p>
        </w:tc>
      </w:tr>
      <w:tr>
        <w:trPr>
          <w:trHeight w:val="234"/>
        </w:trPr>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3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101.SCH</w:t>
            </w: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101.CAL</w:t>
            </w: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101.DEF</w:t>
            </w: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101.LAB</w:t>
            </w: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38"/>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101.PRE</w:t>
            </w: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9"/>
        </w:trPr>
        <w:tc>
          <w:tcPr>
            <w:tcW w:w="1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104</w:t>
            </w: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The cover page from the Company’s Quarterly Report on Form 10-Q for the quarter ended March 31, 2026, has been formatted in</w:t>
            </w:r>
          </w:p>
        </w:tc>
      </w:tr>
      <w:tr>
        <w:trPr>
          <w:trHeight w:val="234"/>
        </w:trPr>
        <w:tc>
          <w:tcPr>
            <w:tcW w:w="8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w:t>
            </w:r>
          </w:p>
        </w:tc>
      </w:tr>
    </w:tbl>
    <w:p>
      <w:pPr>
        <w:spacing w:after="0" w:line="306" w:lineRule="exact"/>
        <w:rPr>
          <w:sz w:val="20"/>
          <w:szCs w:val="20"/>
          <w:color w:val="auto"/>
        </w:rPr>
      </w:pPr>
    </w:p>
    <w:p>
      <w:pPr>
        <w:jc w:val="both"/>
        <w:ind w:right="40" w:firstLine="8"/>
        <w:spacing w:after="0" w:line="266" w:lineRule="auto"/>
        <w:tabs>
          <w:tab w:leader="none" w:pos="1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Item 601(b)(32)(ii) of the SEC’s Regulation S-K, this Exhibit is hereby furnished to the SEC as an accompanying document and is not deemed “filed” for purposes of Section 18 of the Securities Exchange Act of 1934 or otherwise subject to the liabilities of that Section, nor shall it be deemed incorporated by reference into any filing under the Securities Act of 1933.</w:t>
      </w:r>
    </w:p>
    <w:p>
      <w:pPr>
        <w:spacing w:after="0" w:line="20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197" w:right="51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66" w:lineRule="exact"/>
        <w:rPr>
          <w:sz w:val="20"/>
          <w:szCs w:val="20"/>
          <w:color w:val="auto"/>
        </w:rPr>
      </w:pPr>
    </w:p>
    <w:tbl>
      <w:tblPr>
        <w:tblLayout w:type="fixed"/>
        <w:tblInd w:w="320" w:type="dxa"/>
        <w:tblCellMar>
          <w:top w:w="0" w:type="dxa"/>
          <w:left w:w="0" w:type="dxa"/>
          <w:bottom w:w="0" w:type="dxa"/>
          <w:right w:w="0" w:type="dxa"/>
        </w:tblCellMar>
      </w:tblPr>
      <w:tr>
        <w:trPr>
          <w:trHeight w:val="238"/>
        </w:trPr>
        <w:tc>
          <w:tcPr>
            <w:tcW w:w="50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MANHATTAN ASSOCIATES, INC.</w:t>
            </w:r>
          </w:p>
        </w:tc>
        <w:tc>
          <w:tcPr>
            <w:tcW w:w="5920" w:type="dxa"/>
            <w:vAlign w:val="bottom"/>
          </w:tcPr>
          <w:p>
            <w:pPr>
              <w:spacing w:after="0"/>
              <w:rPr>
                <w:sz w:val="20"/>
                <w:szCs w:val="20"/>
                <w:color w:val="auto"/>
              </w:rPr>
            </w:pPr>
          </w:p>
        </w:tc>
      </w:tr>
      <w:tr>
        <w:trPr>
          <w:trHeight w:val="43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April 24, 2026</w:t>
            </w:r>
          </w:p>
        </w:tc>
        <w:tc>
          <w:tcPr>
            <w:tcW w:w="5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/s/ Eric A. Clark</w:t>
            </w:r>
          </w:p>
        </w:tc>
      </w:tr>
      <w:tr>
        <w:trPr>
          <w:trHeight w:val="191"/>
        </w:trPr>
        <w:tc>
          <w:tcPr>
            <w:tcW w:w="48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5920" w:type="dxa"/>
            <w:vAlign w:val="bottom"/>
          </w:tcPr>
          <w:p>
            <w:pPr>
              <w:ind w:left="500"/>
              <w:spacing w:after="0" w:line="191" w:lineRule="exact"/>
              <w:rPr>
                <w:sz w:val="20"/>
                <w:szCs w:val="20"/>
                <w:color w:val="auto"/>
              </w:rPr>
            </w:pPr>
            <w:r>
              <w:rPr>
                <w:rFonts w:ascii="Times New Roman" w:cs="Times New Roman" w:eastAsia="Times New Roman" w:hAnsi="Times New Roman"/>
                <w:sz w:val="18"/>
                <w:szCs w:val="18"/>
                <w:i w:val="1"/>
                <w:iCs w:val="1"/>
                <w:color w:val="auto"/>
              </w:rPr>
              <w:t>Eric A. Clark</w:t>
            </w:r>
          </w:p>
        </w:tc>
      </w:tr>
      <w:tr>
        <w:trPr>
          <w:trHeight w:val="216"/>
        </w:trPr>
        <w:tc>
          <w:tcPr>
            <w:tcW w:w="4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48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648"/>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45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April 24, 2026</w:t>
            </w:r>
          </w:p>
        </w:tc>
        <w:tc>
          <w:tcPr>
            <w:tcW w:w="59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/s/ Linda Pinne</w:t>
            </w:r>
          </w:p>
        </w:tc>
      </w:tr>
      <w:tr>
        <w:trPr>
          <w:trHeight w:val="211"/>
        </w:trPr>
        <w:tc>
          <w:tcPr>
            <w:tcW w:w="48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5920" w:type="dxa"/>
            <w:vAlign w:val="bottom"/>
          </w:tcPr>
          <w:p>
            <w:pPr>
              <w:ind w:left="500"/>
              <w:spacing w:after="0"/>
              <w:rPr>
                <w:sz w:val="20"/>
                <w:szCs w:val="20"/>
                <w:color w:val="auto"/>
              </w:rPr>
            </w:pPr>
            <w:r>
              <w:rPr>
                <w:rFonts w:ascii="Times New Roman" w:cs="Times New Roman" w:eastAsia="Times New Roman" w:hAnsi="Times New Roman"/>
                <w:sz w:val="18"/>
                <w:szCs w:val="18"/>
                <w:i w:val="1"/>
                <w:iCs w:val="1"/>
                <w:color w:val="auto"/>
              </w:rPr>
              <w:t>Linda Pinne</w:t>
            </w:r>
          </w:p>
        </w:tc>
      </w:tr>
    </w:tbl>
    <w:p>
      <w:pPr>
        <w:ind w:left="58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7"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RULE 13a-14(a)/15d-14(a), AS ADOPTED PURSUANT TO SECTION 302 OF THE SARBANES-OXLEY ACT OF 2002</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Eric A. Clark, certify that:</w:t>
      </w:r>
    </w:p>
    <w:p>
      <w:pPr>
        <w:spacing w:after="0" w:line="225" w:lineRule="exact"/>
        <w:rPr>
          <w:sz w:val="20"/>
          <w:szCs w:val="20"/>
          <w:color w:val="auto"/>
        </w:rPr>
      </w:pPr>
    </w:p>
    <w:p>
      <w:pPr>
        <w:ind w:left="520" w:hanging="512"/>
        <w:spacing w:after="0"/>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Dated this 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April, 2026</w:t>
      </w:r>
    </w:p>
    <w:p>
      <w:pPr>
        <w:spacing w:after="0" w:line="19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Eric A.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Eric A. Clark</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left="340" w:right="264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RULE 13a-14(a)/15d-14(a), AS ADOPTED PURSUANT TO SECTION 302 OF THE SARBANES-OXLEY ACT OF 2002</w:t>
      </w:r>
    </w:p>
    <w:p>
      <w:pPr>
        <w:spacing w:after="0" w:line="1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Linda Pinne, certify that:</w:t>
      </w:r>
    </w:p>
    <w:p>
      <w:pPr>
        <w:spacing w:after="0" w:line="225" w:lineRule="exact"/>
        <w:rPr>
          <w:sz w:val="20"/>
          <w:szCs w:val="20"/>
          <w:color w:val="auto"/>
        </w:rPr>
      </w:pPr>
    </w:p>
    <w:p>
      <w:pPr>
        <w:ind w:left="520" w:hanging="512"/>
        <w:spacing w:after="0"/>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registrant;</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4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Dated this 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April, 2026</w:t>
      </w:r>
    </w:p>
    <w:p>
      <w:pPr>
        <w:spacing w:after="0" w:line="19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Linda Pinne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Linda Pinne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901700</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75"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This Certificate is being delivered pursuant to the requirements of Section 1350 of Chapter 63 (Mail Fraud) of Title 18 (Crimes and Criminal Procedures) of the United States Code and shall not be relied on by any person for any other purpose.</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undersigned, who are the Chief Executive Officer and Chief Financial Officer, respectively, of Manhattan Associates, Inc. (the “Company”), hereby each certify that, to the undersigned’s knowledge:</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of the Company for the quarterly period ended March 31, 2026 (the “Report”), which accompanies this Certification, fully complies with the requirements of Section 13(a) or 15(d) of the Securities Exchange Act of 1934, and all information contained in the Report fairly presents, in all material respects, the financial condition and results of operations of the Company.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Dated this 24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April, 2026</w:t>
      </w:r>
    </w:p>
    <w:p>
      <w:pPr>
        <w:spacing w:after="0" w:line="19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Eric A. Clark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Eric A. Clark</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4"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 Linda Pinne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i w:val="1"/>
          <w:iCs w:val="1"/>
          <w:color w:val="auto"/>
        </w:rPr>
        <w:t>Linda Pinne</w:t>
      </w:r>
    </w:p>
    <w:p>
      <w:pPr>
        <w:spacing w:after="0" w:line="2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p>
      <w:pPr>
        <w:spacing w:after="0" w:line="234" w:lineRule="exact"/>
        <w:rPr>
          <w:sz w:val="20"/>
          <w:szCs w:val="20"/>
          <w:color w:val="auto"/>
        </w:rPr>
      </w:pPr>
    </w:p>
    <w:p>
      <w:pPr>
        <w:jc w:val="both"/>
        <w:ind w:right="80"/>
        <w:spacing w:after="0" w:line="281" w:lineRule="auto"/>
        <w:rPr>
          <w:sz w:val="20"/>
          <w:szCs w:val="20"/>
          <w:color w:val="auto"/>
        </w:rPr>
      </w:pPr>
      <w:r>
        <w:rPr>
          <w:rFonts w:ascii="Times New Roman" w:cs="Times New Roman" w:eastAsia="Times New Roman" w:hAnsi="Times New Roman"/>
          <w:sz w:val="17"/>
          <w:szCs w:val="17"/>
          <w:color w:val="auto"/>
        </w:rPr>
        <w:t>In accordance with SEC Release No. 34-47986, this Exhibit is furnished to the SEC as an accompanying document and is not deemed “filed” for purposes of Section 18 of the Securities Exchange Act of 1934 or otherwise subject to the liabilities of that Section, nor shall it be deemed incorporated by reference into any filing under the Securities Act of 1933. A signed original of this written statement required by Section 906 of the Sarbanes-Oxley Act of 2002 has been provided to the registrant and will be retained by the registrant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583565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1."/>
      <w:numFmt w:val="decimal"/>
      <w:start w:val="4"/>
    </w:lvl>
  </w:abstractNum>
  <w:abstractNum w:abstractNumId="7">
    <w:nsid w:val="109CF92E"/>
    <w:multiLevelType w:val="hybridMultilevel"/>
    <w:lvl w:ilvl="0">
      <w:lvlJc w:val="left"/>
      <w:lvlText w:val="%1."/>
      <w:numFmt w:val="decimal"/>
      <w:start w:val="5"/>
    </w:lvl>
  </w:abstractNum>
  <w:abstractNum w:abstractNumId="8">
    <w:nsid w:val="DED7263"/>
    <w:multiLevelType w:val="hybridMultilevel"/>
    <w:lvl w:ilvl="0">
      <w:lvlJc w:val="left"/>
      <w:lvlText w:val="%1."/>
      <w:numFmt w:val="decimal"/>
      <w:start w:val="6"/>
    </w:lvl>
  </w:abstractNum>
  <w:abstractNum w:abstractNumId="9">
    <w:nsid w:val="7FDCC233"/>
    <w:multiLevelType w:val="hybridMultilevel"/>
    <w:lvl w:ilvl="0">
      <w:lvlJc w:val="left"/>
      <w:lvlText w:val="%1."/>
      <w:numFmt w:val="decimal"/>
      <w:start w:val="7"/>
    </w:lvl>
  </w:abstractNum>
  <w:abstractNum w:abstractNumId="10">
    <w:nsid w:val="1BEFD79F"/>
    <w:multiLevelType w:val="hybridMultilevel"/>
    <w:lvl w:ilvl="0">
      <w:lvlJc w:val="left"/>
      <w:lvlText w:val="%1."/>
      <w:numFmt w:val="decimal"/>
      <w:start w:val="8"/>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61" Type="http://schemas.openxmlformats.org/officeDocument/2006/relationships/hyperlink" Target="https://www.sec.gov/Archives/edgar/data/1056696/000119312526073584/manh-ex10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2026-04-24T09:18:35Z</dcterms:created>
  <dcterms:modified xsi:type="dcterms:W3CDTF">2026-04-24T09:18:35Z</dcterms:modified>
</cp:coreProperties>
</file>