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MANHATTAN ASSOCIATES,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0-23999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58-2373424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2300 Windy Ridge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Tenth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30339</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770 955-7070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Succession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February 10, 2025, Manhattan Associates,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that, after a significant search process, the Board of Directors elected Mr. Eric A. Clark to succeed Mr. Eddie Capel as President and Chief Executive Officer of the Company, to be effective February 12, 2025. The Board also increased the size of the Board from eight to nine members and appointed Mr. Clark to serve as a Class II Board member. Mr. Capel will assume the office of Executive Vice-Chairman of the Board.</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Most recently, since April 2024, Mr. Clark has served as Chief Executive Officer of NTT Data North America, a technology consulting, digital transformation and IT infrastructure company, and prior to that, since September 2022, as Chief Executive Officer of NTT Ltd. Americas, another NTT Data group technology services company that combined with NTT Data North America in 2024. Prior to that, he served as Chief Digital and Strategy Officer for NTT Data Services. Before joining NTT, Mr. Clark served as Senior Vice President and Managing Director, Global Services, at ServiceNow, a business management software company, from 2016 to 2018, and from 2012 to 2016 in various Vice President roles with IT services business Dell Services (acquired by NTT in 2016), including most recently as Vice President, Global Commercial Industries. Before joining Dell, he served in various leadership roles with IT company Hewlett-Packard, including most recently as Global Vice President, Application Innovation Services.</w:t>
      </w:r>
    </w:p>
    <w:p>
      <w:pPr>
        <w:spacing w:after="0" w:line="18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expects Mr. Clark to enter into an employment agreement with the Company substantially in the form of the Company’s standard at-will executive employment agreement filed as Exhibit 10.1 and incorporated by reference into this Form 8-K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Mr. Clark’s compensation includes: an initial annual base salary of $800,000; a target opportunity under the Company’s annual cash bonus plan equal to $800,000; a cash signing bonus of $3 million payable in three equal installments on February 14, 2025, July 14, 2025 and February 14, 2026; and an initial grant of service-based restricted stock units under the Company’s equity incentive plan with a value at grant equal to $8 million, with $2.6 million vesting on February 14, 2025, $2.2 million vesting on each of February 14, 2026, and February 14, 2027, and the remaining $1 million vesting on February 14, 2028.</w:t>
      </w:r>
    </w:p>
    <w:p>
      <w:pPr>
        <w:spacing w:after="0" w:line="187"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other terms of the Agreement are standard terms and conditions of the Company’s form of at-will executive employment agreement.</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Mr. Clark will be eligible for equity awards that reflect his position, duties, and responsibilities with the Company and will be eligible to participate in all other benefit plans, programs, and arrangements generally available to executives of the Company. The Company may increase his initial base salary and adjust his target cash bonus opportunity at the Board’s or the Board Compensation Committee’s discretion. The Board or Compensation Committee will determine the amount and type of any future equity incentives in their discretion.</w:t>
      </w:r>
    </w:p>
    <w:p>
      <w:pPr>
        <w:spacing w:after="0" w:line="1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Either the Company or Mr. Clark may terminate his employment under the Agreement at any time. If the Company terminates his employment for reasons other than death, disability or “cause” (as defined in the Agreement), or if Mr. Clark terminates his employment for “constructive termination” (as defined in the Agreement), he will be entitled to severance payments equal to continuation of his base salary for twelve months and twelve months of COBRA coverage for family medical and dental benefits. In addition, if his termination under the circumstances described in the preceding sentence occurs on or within 24 months following a “change of control” (as defined in the Agreement), he will be entitled to (i) a pro rata bonus for the year of termination and (ii) an additional bonus amount equal to the greater of his target bonus for the year of termination or for the prior year. If a change of control occurs, any unvested equity awards outstanding at the time of the change in control will remain in effect in accordance with their terms (or the Company may provide him with substantially equivalent substitute equity awards of the survivor or purchasing entity or its parent). If on or within 24 months following a change of control, the Company (or its successor) terminates him without cause, or he experiences a “constructive termination” (as defined in the Agreement), then any outstanding unvested equity awards (or the substituted equity awards) will fully vest. In general, the Agreement limits severance payments so that he will not receive any “parachute payment” as described in Section 280G of the Internal Revenue Code of 1986, as amended. The Agreement requires him to provide the Company with a general release of all claims to receive any severance payments or benefits.</w:t>
      </w:r>
    </w:p>
    <w:p>
      <w:pPr>
        <w:spacing w:after="0" w:line="19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Agreement contains provisions requiring Mr. Clark to protect the Company’s proprietary and confidential information. In addition, through the twelve-month anniversary date of his termination of employment (or, if later, the last date any severance payments are due), he agrees not to (i) solicit or accept business from the Company’s customers or customer prospects with whom they had material contact for the purpose of performing a competing business, (ii) solicit or hire away the Company’s employees, (iii) perform, or supervise, manage or provide consulting or advice regarding the performance of, duties the same as or similar to those he performed for the Company during the 24 months prior to termination, for a competing business owned by any of a designated group of companies, or (iv) serve on the board of directors (or similar oversight body) for any of those same designated companies. Mr. Clark also agrees to assign to the Company all patents, inventions, copyrights and other intellectual property that he develops during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also expects Mr. Clark to enter into the Company’s standard form of director and officer indemnification agreement, substantially in the form filed as Exhibit 10.2 and incorporated by reference to this Form 8-K, pursuant to which the Company will indemnify him to the fullest extent permitted by law with respect to claims against him arising out of his service as an officer, director or employee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 of Existing Director</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Also effective February 12, 2025, the Board has reclassified Class II Board member Ms. Linda T. Hollembaek as a Class I Board member, with a term expiring in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10, 2025, the Company issued a press release announcing the succession of Mr. Clark as President and Chief Executive Officer of the Company. The press release is furnished with this Form 8-K as Exhibit 99.1. Pursuant to General Instruction B.2 of Form 8-K, this exhibit is “furnished” and not “filed” for purposes of Section 18 of the Securities Exchange Act of 1934.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1940" w:hanging="714"/>
        <w:spacing w:after="0"/>
        <w:tabs>
          <w:tab w:leader="none" w:pos="19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860" w:type="dxa"/>
            <w:vAlign w:val="bottom"/>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Description</w:t>
            </w:r>
          </w:p>
        </w:tc>
        <w:tc>
          <w:tcPr>
            <w:tcW w:w="67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6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10.1</w:t>
            </w:r>
          </w:p>
        </w:tc>
        <w:tc>
          <w:tcPr>
            <w:tcW w:w="860" w:type="dxa"/>
            <w:vAlign w:val="bottom"/>
          </w:tcPr>
          <w:p>
            <w:pPr>
              <w:spacing w:after="0"/>
              <w:rPr>
                <w:sz w:val="24"/>
                <w:szCs w:val="24"/>
                <w:color w:val="auto"/>
              </w:rPr>
            </w:pPr>
          </w:p>
        </w:tc>
        <w:tc>
          <w:tcPr>
            <w:tcW w:w="7120" w:type="dxa"/>
            <w:vAlign w:val="bottom"/>
            <w:tcBorders>
              <w:bottom w:val="single" w:sz="8" w:color="0000FF"/>
            </w:tcBorders>
            <w:gridSpan w:val="5"/>
          </w:tcPr>
          <w:p>
            <w:pPr>
              <w:spacing w:after="0"/>
              <w:rPr>
                <w:rFonts w:ascii="Times New Roman" w:cs="Times New Roman" w:eastAsia="Times New Roman" w:hAnsi="Times New Roman"/>
                <w:sz w:val="20"/>
                <w:szCs w:val="20"/>
                <w:color w:val="0000FF"/>
                <w:w w:val="99"/>
              </w:rPr>
            </w:pPr>
            <w:hyperlink r:id="rId19">
              <w:r>
                <w:rPr>
                  <w:rFonts w:ascii="Times New Roman" w:cs="Times New Roman" w:eastAsia="Times New Roman" w:hAnsi="Times New Roman"/>
                  <w:sz w:val="20"/>
                  <w:szCs w:val="20"/>
                  <w:color w:val="0000FF"/>
                  <w:w w:val="99"/>
                </w:rPr>
                <w:t>Form of Executive Employment Agreement (Incorporated by reference to Exhibit 10.1 to</w:t>
              </w:r>
            </w:hyperlink>
          </w:p>
        </w:tc>
        <w:tc>
          <w:tcPr>
            <w:tcW w:w="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60" w:type="dxa"/>
            <w:vAlign w:val="bottom"/>
            <w:tcBorders>
              <w:bottom w:val="single" w:sz="8" w:color="0000FF"/>
            </w:tcBorders>
            <w:gridSpan w:val="8"/>
          </w:tcPr>
          <w:p>
            <w:pPr>
              <w:spacing w:after="0" w:line="209" w:lineRule="exact"/>
              <w:rPr>
                <w:rFonts w:ascii="Times New Roman" w:cs="Times New Roman" w:eastAsia="Times New Roman" w:hAnsi="Times New Roman"/>
                <w:sz w:val="20"/>
                <w:szCs w:val="20"/>
                <w:color w:val="0000FF"/>
                <w:w w:val="99"/>
              </w:rPr>
            </w:pPr>
            <w:hyperlink r:id="rId19">
              <w:r>
                <w:rPr>
                  <w:rFonts w:ascii="Times New Roman" w:cs="Times New Roman" w:eastAsia="Times New Roman" w:hAnsi="Times New Roman"/>
                  <w:sz w:val="20"/>
                  <w:szCs w:val="20"/>
                  <w:color w:val="0000FF"/>
                  <w:w w:val="99"/>
                </w:rPr>
                <w:t>the Company’s Form 10-Q for the period ended September 30, 2018 (File No. 000-23999),</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760" w:type="dxa"/>
            <w:vAlign w:val="bottom"/>
            <w:gridSpan w:val="9"/>
          </w:tcPr>
          <w:p>
            <w:pPr>
              <w:spacing w:after="0" w:line="209" w:lineRule="exact"/>
              <w:rPr>
                <w:rFonts w:ascii="Times New Roman" w:cs="Times New Roman" w:eastAsia="Times New Roman" w:hAnsi="Times New Roman"/>
                <w:sz w:val="20"/>
                <w:szCs w:val="20"/>
                <w:color w:val="0000FF"/>
              </w:rPr>
            </w:pPr>
            <w:hyperlink r:id="rId19">
              <w:r>
                <w:rPr>
                  <w:rFonts w:ascii="Times New Roman" w:cs="Times New Roman" w:eastAsia="Times New Roman" w:hAnsi="Times New Roman"/>
                  <w:sz w:val="20"/>
                  <w:szCs w:val="20"/>
                  <w:color w:val="0000FF"/>
                </w:rPr>
                <w:t>filed on October 25, 2018).</w:t>
              </w:r>
            </w:hyperlink>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20"/>
                <w:szCs w:val="20"/>
                <w:color w:val="auto"/>
              </w:rPr>
              <w:t>10.2</w:t>
            </w:r>
          </w:p>
        </w:tc>
        <w:tc>
          <w:tcPr>
            <w:tcW w:w="860" w:type="dxa"/>
            <w:vAlign w:val="bottom"/>
          </w:tcPr>
          <w:p>
            <w:pPr>
              <w:spacing w:after="0" w:line="20" w:lineRule="exact"/>
              <w:rPr>
                <w:sz w:val="1"/>
                <w:szCs w:val="1"/>
                <w:color w:val="auto"/>
              </w:rPr>
            </w:pPr>
          </w:p>
        </w:tc>
        <w:tc>
          <w:tcPr>
            <w:tcW w:w="216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7200" w:type="dxa"/>
            <w:vAlign w:val="bottom"/>
            <w:tcBorders>
              <w:bottom w:val="single" w:sz="8" w:color="0000FF"/>
            </w:tcBorders>
            <w:gridSpan w:val="7"/>
          </w:tcPr>
          <w:p>
            <w:pPr>
              <w:spacing w:after="0"/>
              <w:rPr>
                <w:rFonts w:ascii="Times New Roman" w:cs="Times New Roman" w:eastAsia="Times New Roman" w:hAnsi="Times New Roman"/>
                <w:sz w:val="20"/>
                <w:szCs w:val="20"/>
                <w:color w:val="0000FF"/>
                <w:w w:val="99"/>
              </w:rPr>
            </w:pPr>
            <w:hyperlink r:id="rId20">
              <w:r>
                <w:rPr>
                  <w:rFonts w:ascii="Times New Roman" w:cs="Times New Roman" w:eastAsia="Times New Roman" w:hAnsi="Times New Roman"/>
                  <w:sz w:val="20"/>
                  <w:szCs w:val="20"/>
                  <w:color w:val="0000FF"/>
                  <w:w w:val="99"/>
                </w:rPr>
                <w:t>Form of Director and Officer Indemnification Agreement with all Directors and Executive</w:t>
              </w:r>
            </w:hyperlink>
          </w:p>
        </w:tc>
        <w:tc>
          <w:tcPr>
            <w:tcW w:w="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40" w:type="dxa"/>
            <w:vAlign w:val="bottom"/>
            <w:tcBorders>
              <w:bottom w:val="single" w:sz="8" w:color="0000FF"/>
            </w:tcBorders>
            <w:gridSpan w:val="6"/>
          </w:tcPr>
          <w:p>
            <w:pPr>
              <w:spacing w:after="0" w:line="209" w:lineRule="exact"/>
              <w:rPr>
                <w:rFonts w:ascii="Times New Roman" w:cs="Times New Roman" w:eastAsia="Times New Roman" w:hAnsi="Times New Roman"/>
                <w:sz w:val="20"/>
                <w:szCs w:val="20"/>
                <w:color w:val="0000FF"/>
                <w:w w:val="99"/>
              </w:rPr>
            </w:pPr>
            <w:hyperlink r:id="rId20">
              <w:r>
                <w:rPr>
                  <w:rFonts w:ascii="Times New Roman" w:cs="Times New Roman" w:eastAsia="Times New Roman" w:hAnsi="Times New Roman"/>
                  <w:sz w:val="20"/>
                  <w:szCs w:val="20"/>
                  <w:color w:val="0000FF"/>
                  <w:w w:val="99"/>
                </w:rPr>
                <w:t>Officers (Incorporated by reference to Exhibit 10.2 to the Company’s Form 8-K (File No.</w:t>
              </w:r>
            </w:hyperlink>
          </w:p>
        </w:tc>
        <w:tc>
          <w:tcPr>
            <w:tcW w:w="6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760" w:type="dxa"/>
            <w:vAlign w:val="bottom"/>
            <w:gridSpan w:val="9"/>
          </w:tcPr>
          <w:p>
            <w:pPr>
              <w:spacing w:after="0" w:line="209" w:lineRule="exact"/>
              <w:rPr>
                <w:rFonts w:ascii="Times New Roman" w:cs="Times New Roman" w:eastAsia="Times New Roman" w:hAnsi="Times New Roman"/>
                <w:sz w:val="20"/>
                <w:szCs w:val="20"/>
                <w:color w:val="0000FF"/>
              </w:rPr>
            </w:pPr>
            <w:hyperlink r:id="rId20">
              <w:r>
                <w:rPr>
                  <w:rFonts w:ascii="Times New Roman" w:cs="Times New Roman" w:eastAsia="Times New Roman" w:hAnsi="Times New Roman"/>
                  <w:sz w:val="20"/>
                  <w:szCs w:val="20"/>
                  <w:color w:val="0000FF"/>
                </w:rPr>
                <w:t>000-23999) filed on April 4, 2013).</w:t>
              </w:r>
            </w:hyperlink>
          </w:p>
        </w:tc>
        <w:tc>
          <w:tcPr>
            <w:tcW w:w="0" w:type="dxa"/>
            <w:vAlign w:val="bottom"/>
          </w:tcPr>
          <w:p>
            <w:pPr>
              <w:spacing w:after="0"/>
              <w:rPr>
                <w:sz w:val="1"/>
                <w:szCs w:val="1"/>
                <w:color w:val="auto"/>
              </w:rPr>
            </w:pPr>
          </w:p>
        </w:tc>
      </w:tr>
      <w:tr>
        <w:trPr>
          <w:trHeight w:val="20"/>
        </w:trPr>
        <w:tc>
          <w:tcPr>
            <w:tcW w:w="2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99.1</w:t>
            </w:r>
          </w:p>
        </w:tc>
        <w:tc>
          <w:tcPr>
            <w:tcW w:w="86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Press Release dated February 10, 2025</w:t>
            </w: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20"/>
                <w:szCs w:val="20"/>
                <w:color w:val="auto"/>
              </w:rPr>
              <w:t>104</w:t>
            </w:r>
          </w:p>
        </w:tc>
        <w:tc>
          <w:tcPr>
            <w:tcW w:w="860" w:type="dxa"/>
            <w:vAlign w:val="bottom"/>
          </w:tcPr>
          <w:p>
            <w:pPr>
              <w:spacing w:after="0" w:line="20" w:lineRule="exact"/>
              <w:rPr>
                <w:sz w:val="1"/>
                <w:szCs w:val="1"/>
                <w:color w:val="auto"/>
              </w:rPr>
            </w:pPr>
          </w:p>
        </w:tc>
        <w:tc>
          <w:tcPr>
            <w:tcW w:w="3080" w:type="dxa"/>
            <w:vAlign w:val="bottom"/>
            <w:tcBorders>
              <w:right w:val="single" w:sz="8" w:color="0000EE"/>
            </w:tcBorders>
            <w:gridSpan w:val="4"/>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2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973"/>
        </w:trPr>
        <w:tc>
          <w:tcPr>
            <w:tcW w:w="1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Manhattan Associates,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S.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0540"/>
          </w:cols>
          <w:pgMar w:left="1020" w:top="769" w:right="3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 xml:space="preserve">Michael Bauer Senior Director, Investor Relations Manhattan Associates, Inc. 678-597-7538 </w:t>
      </w:r>
      <w:r>
        <w:rPr>
          <w:rFonts w:ascii="Arial" w:cs="Arial" w:eastAsia="Arial" w:hAnsi="Arial"/>
          <w:sz w:val="22"/>
          <w:szCs w:val="22"/>
          <w:color w:val="0033CC"/>
        </w:rPr>
        <w:t>mbauer@manh.com</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Devika Goel</w:t>
      </w:r>
    </w:p>
    <w:p>
      <w:pPr>
        <w:spacing w:after="0"/>
        <w:rPr>
          <w:sz w:val="20"/>
          <w:szCs w:val="20"/>
          <w:color w:val="auto"/>
        </w:rPr>
      </w:pPr>
      <w:r>
        <w:rPr>
          <w:rFonts w:ascii="Arial" w:cs="Arial" w:eastAsia="Arial" w:hAnsi="Arial"/>
          <w:sz w:val="22"/>
          <w:szCs w:val="22"/>
          <w:color w:val="auto"/>
        </w:rPr>
        <w:t>Senior Manager,</w:t>
      </w:r>
    </w:p>
    <w:p>
      <w:pPr>
        <w:spacing w:after="0" w:line="230" w:lineRule="auto"/>
        <w:rPr>
          <w:sz w:val="20"/>
          <w:szCs w:val="20"/>
          <w:color w:val="auto"/>
        </w:rPr>
      </w:pPr>
      <w:r>
        <w:rPr>
          <w:rFonts w:ascii="Arial" w:cs="Arial" w:eastAsia="Arial" w:hAnsi="Arial"/>
          <w:sz w:val="22"/>
          <w:szCs w:val="22"/>
          <w:color w:val="auto"/>
        </w:rPr>
        <w:t>Public Relations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Manhattan Associates, Inc.</w:t>
      </w:r>
    </w:p>
    <w:p>
      <w:pPr>
        <w:spacing w:after="0" w:line="231" w:lineRule="auto"/>
        <w:rPr>
          <w:sz w:val="20"/>
          <w:szCs w:val="20"/>
          <w:color w:val="auto"/>
        </w:rPr>
      </w:pPr>
      <w:r>
        <w:rPr>
          <w:rFonts w:ascii="Arial" w:cs="Arial" w:eastAsia="Arial" w:hAnsi="Arial"/>
          <w:sz w:val="22"/>
          <w:szCs w:val="22"/>
          <w:color w:val="auto"/>
        </w:rPr>
        <w:t>678-597-6754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33CC"/>
        </w:rPr>
        <w:t>dgoel@manh.com</w:t>
      </w:r>
    </w:p>
    <w:p>
      <w:pPr>
        <w:spacing w:after="0" w:line="200" w:lineRule="exact"/>
        <w:rPr>
          <w:sz w:val="20"/>
          <w:szCs w:val="20"/>
          <w:color w:val="auto"/>
        </w:rPr>
      </w:pPr>
    </w:p>
    <w:p>
      <w:pPr>
        <w:sectPr>
          <w:pgSz w:w="11900" w:h="16838" w:orient="portrait"/>
          <w:cols w:equalWidth="0" w:num="3">
            <w:col w:w="880" w:space="340"/>
            <w:col w:w="3000" w:space="720"/>
            <w:col w:w="5600"/>
          </w:cols>
          <w:pgMar w:left="1020" w:top="769" w:right="3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ind w:right="760"/>
        <w:spacing w:after="0"/>
        <w:rPr>
          <w:sz w:val="20"/>
          <w:szCs w:val="20"/>
          <w:color w:val="auto"/>
        </w:rPr>
      </w:pPr>
      <w:r>
        <w:rPr>
          <w:rFonts w:ascii="Arial" w:cs="Arial" w:eastAsia="Arial" w:hAnsi="Arial"/>
          <w:sz w:val="25"/>
          <w:szCs w:val="25"/>
          <w:b w:val="1"/>
          <w:bCs w:val="1"/>
          <w:color w:val="auto"/>
        </w:rPr>
        <w:t>Manhattan Associates Announces CEO Succession</w:t>
      </w:r>
    </w:p>
    <w:p>
      <w:pPr>
        <w:spacing w:after="0" w:line="118" w:lineRule="exact"/>
        <w:rPr>
          <w:sz w:val="20"/>
          <w:szCs w:val="20"/>
          <w:color w:val="auto"/>
        </w:rPr>
      </w:pPr>
    </w:p>
    <w:p>
      <w:pPr>
        <w:jc w:val="center"/>
        <w:ind w:right="700"/>
        <w:spacing w:after="0"/>
        <w:rPr>
          <w:sz w:val="20"/>
          <w:szCs w:val="20"/>
          <w:color w:val="auto"/>
        </w:rPr>
      </w:pPr>
      <w:r>
        <w:rPr>
          <w:rFonts w:ascii="Arial" w:cs="Arial" w:eastAsia="Arial" w:hAnsi="Arial"/>
          <w:sz w:val="25"/>
          <w:szCs w:val="25"/>
          <w:b w:val="1"/>
          <w:bCs w:val="1"/>
          <w:color w:val="auto"/>
        </w:rPr>
        <w:t>Eddie Capel retires as President &amp; CEO; succeeded by Eric Clark</w:t>
      </w:r>
    </w:p>
    <w:p>
      <w:pPr>
        <w:spacing w:after="0" w:line="334" w:lineRule="exact"/>
        <w:rPr>
          <w:sz w:val="20"/>
          <w:szCs w:val="20"/>
          <w:color w:val="auto"/>
        </w:rPr>
      </w:pPr>
    </w:p>
    <w:p>
      <w:pPr>
        <w:ind w:left="60" w:right="1020"/>
        <w:spacing w:after="0" w:line="235" w:lineRule="auto"/>
        <w:rPr>
          <w:sz w:val="20"/>
          <w:szCs w:val="20"/>
          <w:color w:val="auto"/>
        </w:rPr>
      </w:pPr>
      <w:r>
        <w:rPr>
          <w:rFonts w:ascii="Arial" w:cs="Arial" w:eastAsia="Arial" w:hAnsi="Arial"/>
          <w:sz w:val="20"/>
          <w:szCs w:val="20"/>
          <w:b w:val="1"/>
          <w:bCs w:val="1"/>
          <w:color w:val="auto"/>
        </w:rPr>
        <w:t>ATLANTA – February 10, 2025 –</w:t>
      </w:r>
      <w:r>
        <w:rPr>
          <w:rFonts w:ascii="Arial" w:cs="Arial" w:eastAsia="Arial" w:hAnsi="Arial"/>
          <w:sz w:val="20"/>
          <w:szCs w:val="20"/>
          <w:color w:val="auto"/>
        </w:rPr>
        <w:t>Today the Board of Directors of Manhattan Associates Inc. (NASDAQ:</w:t>
      </w:r>
      <w:r>
        <w:rPr>
          <w:rFonts w:ascii="Arial" w:cs="Arial" w:eastAsia="Arial" w:hAnsi="Arial"/>
          <w:sz w:val="20"/>
          <w:szCs w:val="20"/>
          <w:b w:val="1"/>
          <w:bCs w:val="1"/>
          <w:color w:val="auto"/>
        </w:rPr>
        <w:t xml:space="preserve"> </w:t>
      </w:r>
      <w:r>
        <w:rPr>
          <w:rFonts w:ascii="Arial" w:cs="Arial" w:eastAsia="Arial" w:hAnsi="Arial"/>
          <w:sz w:val="20"/>
          <w:szCs w:val="20"/>
          <w:color w:val="auto"/>
        </w:rPr>
        <w:t>MANH) announced that Eddie Capel, Manhattan’s President and CEO, will retire from his position effective February 12, 2025. He will continue to serve Manhattan in the role of Executive Vice-Chairman of the Board, assisting with CEO transition and special projects. Mr. Capel will be succeeded by Eric Clark, who has been serving as CEO of NTT Data North America. Mr. Clark will also join the Manhattan Board.</w:t>
      </w:r>
    </w:p>
    <w:p>
      <w:pPr>
        <w:spacing w:after="0" w:line="172" w:lineRule="exact"/>
        <w:rPr>
          <w:sz w:val="20"/>
          <w:szCs w:val="20"/>
          <w:color w:val="auto"/>
        </w:rPr>
      </w:pPr>
    </w:p>
    <w:p>
      <w:pPr>
        <w:ind w:left="60" w:right="1420" w:hanging="14"/>
        <w:spacing w:after="0" w:line="257" w:lineRule="auto"/>
        <w:rPr>
          <w:sz w:val="20"/>
          <w:szCs w:val="20"/>
          <w:color w:val="auto"/>
        </w:rPr>
      </w:pPr>
      <w:r>
        <w:rPr>
          <w:rFonts w:ascii="Arial" w:cs="Arial" w:eastAsia="Arial" w:hAnsi="Arial"/>
          <w:sz w:val="20"/>
          <w:szCs w:val="20"/>
          <w:color w:val="auto"/>
        </w:rPr>
        <w:t>Mr. Capel joined Manhattan in June 2000, and, after serving in various operations and technology roles, became its Chief Operating Officer in January 2011 and President and CEO in January 2013.</w:t>
      </w:r>
    </w:p>
    <w:p>
      <w:pPr>
        <w:spacing w:after="0" w:line="155" w:lineRule="exact"/>
        <w:rPr>
          <w:sz w:val="20"/>
          <w:szCs w:val="20"/>
          <w:color w:val="auto"/>
        </w:rPr>
      </w:pPr>
    </w:p>
    <w:p>
      <w:pPr>
        <w:jc w:val="both"/>
        <w:ind w:left="60" w:right="780" w:hanging="14"/>
        <w:spacing w:after="0" w:line="243" w:lineRule="auto"/>
        <w:rPr>
          <w:sz w:val="20"/>
          <w:szCs w:val="20"/>
          <w:color w:val="auto"/>
        </w:rPr>
      </w:pPr>
      <w:r>
        <w:rPr>
          <w:rFonts w:ascii="Arial" w:cs="Arial" w:eastAsia="Arial" w:hAnsi="Arial"/>
          <w:sz w:val="19"/>
          <w:szCs w:val="19"/>
          <w:color w:val="auto"/>
        </w:rPr>
        <w:t>Mr. Clark joined NTT Data Services in 2018, leading the development of capabilities and insights to help clients modernize and transform their technology operations. In October 2022, he became CEO of NTT Ltd. Americas, a leading IT infrastructure and services company that combined with NTT DATA in April 2024, upon which Mr.</w:t>
      </w:r>
    </w:p>
    <w:p>
      <w:pPr>
        <w:spacing w:after="0" w:line="2" w:lineRule="exact"/>
        <w:rPr>
          <w:sz w:val="20"/>
          <w:szCs w:val="20"/>
          <w:color w:val="auto"/>
        </w:rPr>
      </w:pPr>
    </w:p>
    <w:p>
      <w:pPr>
        <w:jc w:val="both"/>
        <w:ind w:left="60" w:right="1400"/>
        <w:spacing w:after="0" w:line="234" w:lineRule="auto"/>
        <w:rPr>
          <w:sz w:val="20"/>
          <w:szCs w:val="20"/>
          <w:color w:val="auto"/>
        </w:rPr>
      </w:pPr>
      <w:r>
        <w:rPr>
          <w:rFonts w:ascii="Arial" w:cs="Arial" w:eastAsia="Arial" w:hAnsi="Arial"/>
          <w:sz w:val="20"/>
          <w:szCs w:val="20"/>
          <w:color w:val="auto"/>
        </w:rPr>
        <w:t>Clark became CEO of the combined entity NTT Data North America. Earlier in his career, Mr. Clark held numerous global, senior leadership positions with ServiceNow, Dell, Hewlett Packard Enterprise, Arthur Andersen Business Consulting, Ernst &amp; Young and Bank of America.</w:t>
      </w:r>
    </w:p>
    <w:p>
      <w:pPr>
        <w:spacing w:after="0" w:line="173" w:lineRule="exact"/>
        <w:rPr>
          <w:sz w:val="20"/>
          <w:szCs w:val="20"/>
          <w:color w:val="auto"/>
        </w:rPr>
      </w:pPr>
    </w:p>
    <w:p>
      <w:pPr>
        <w:ind w:left="60" w:right="780" w:hanging="14"/>
        <w:spacing w:after="0" w:line="232" w:lineRule="auto"/>
        <w:rPr>
          <w:sz w:val="20"/>
          <w:szCs w:val="20"/>
          <w:color w:val="auto"/>
        </w:rPr>
      </w:pPr>
      <w:r>
        <w:rPr>
          <w:rFonts w:ascii="Arial" w:cs="Arial" w:eastAsia="Arial" w:hAnsi="Arial"/>
          <w:sz w:val="20"/>
          <w:szCs w:val="20"/>
          <w:color w:val="auto"/>
        </w:rPr>
        <w:t>John Huntz, Manhattan’s Chairman, commented, “Eddie Capel has accomplished a great deal as CEO setting our strategic direction, building our winning team and creating shareholder value. During his tenure as CEO, Manhattan solidified its position as a leading global technology provider and innovator in both supply chain and omnichannel commerce. The Board thanks Eddie for his dedication to Manhattan over the last 25 years and for working diligently with the Board during our comprehensive CEO succession planning process over the last 24 months. We look forward to his continued involvement as Executive Vice-Chairman and as a member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122555</wp:posOffset>
            </wp:positionV>
            <wp:extent cx="534924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5349240" cy="557530"/>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1147445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1020" w:top="769" w:right="339" w:bottom="1440" w:gutter="0" w:footer="0" w:header="0"/>
          <w:type w:val="continuous"/>
        </w:sectPr>
      </w:pPr>
    </w:p>
    <w:bookmarkStart w:id="5" w:name="page6"/>
    <w:bookmarkEnd w:id="5"/>
    <w:p>
      <w:pPr>
        <w:ind w:left="9480"/>
        <w:spacing w:after="0"/>
        <w:rPr>
          <w:sz w:val="20"/>
          <w:szCs w:val="20"/>
          <w:color w:val="auto"/>
        </w:rPr>
      </w:pPr>
      <w:r>
        <w:rPr>
          <w:rFonts w:ascii="Arial" w:cs="Arial" w:eastAsia="Arial" w:hAnsi="Arial"/>
          <w:sz w:val="17"/>
          <w:szCs w:val="17"/>
          <w:b w:val="1"/>
          <w:bCs w:val="1"/>
          <w:color w:val="auto"/>
        </w:rPr>
        <w:t>Exhibit 99.1</w:t>
      </w:r>
    </w:p>
    <w:p>
      <w:pPr>
        <w:spacing w:after="0" w:line="220" w:lineRule="exact"/>
        <w:rPr>
          <w:sz w:val="20"/>
          <w:szCs w:val="20"/>
          <w:color w:val="auto"/>
        </w:rPr>
      </w:pPr>
    </w:p>
    <w:p>
      <w:pPr>
        <w:ind w:right="800" w:hanging="14"/>
        <w:spacing w:after="0" w:line="232" w:lineRule="auto"/>
        <w:rPr>
          <w:sz w:val="20"/>
          <w:szCs w:val="20"/>
          <w:color w:val="auto"/>
        </w:rPr>
      </w:pPr>
      <w:r>
        <w:rPr>
          <w:rFonts w:ascii="Arial" w:cs="Arial" w:eastAsia="Arial" w:hAnsi="Arial"/>
          <w:sz w:val="20"/>
          <w:szCs w:val="20"/>
          <w:color w:val="auto"/>
        </w:rPr>
        <w:t>Mr. Capel stated, “This is an ideal time for a CEO transition. Our company is in an exceptionally strong position strategically, competitively, operationally and financially. I want to thank our management team and our entire workforce, which is second to none, for their hard work and dedication to our mission of advancing global commerce through advanced technology. I look forward to working closely with Eric and continuing to contribute to our product vision, interacting with our customers and partners, and ensuring the growth and success of Manhattan Associates. And I have confidence that under Eric’s leadership, the team will continue to capitalize on our many market opportunities and extend our global leadership position.”</w:t>
      </w:r>
    </w:p>
    <w:p>
      <w:pPr>
        <w:spacing w:after="0" w:line="172" w:lineRule="exact"/>
        <w:rPr>
          <w:sz w:val="20"/>
          <w:szCs w:val="20"/>
          <w:color w:val="auto"/>
        </w:rPr>
      </w:pPr>
    </w:p>
    <w:p>
      <w:pPr>
        <w:ind w:right="960" w:hanging="14"/>
        <w:spacing w:after="0" w:line="237" w:lineRule="auto"/>
        <w:rPr>
          <w:sz w:val="20"/>
          <w:szCs w:val="20"/>
          <w:color w:val="auto"/>
        </w:rPr>
      </w:pPr>
      <w:r>
        <w:rPr>
          <w:rFonts w:ascii="Arial" w:cs="Arial" w:eastAsia="Arial" w:hAnsi="Arial"/>
          <w:sz w:val="20"/>
          <w:szCs w:val="20"/>
          <w:color w:val="auto"/>
        </w:rPr>
        <w:t>Regarding his appointment, Eric Clark commented, “Manhattan’s impact on global commerce continues to be considerable, and the greatest opportunities clearly are still in front of us. I could not be more excited to work with Eddie, the Board and the management team to build on Manhattan’s prior achievements and chart the course for our future success.”</w:t>
      </w:r>
    </w:p>
    <w:p>
      <w:pPr>
        <w:spacing w:after="0" w:line="172" w:lineRule="exact"/>
        <w:rPr>
          <w:sz w:val="20"/>
          <w:szCs w:val="20"/>
          <w:color w:val="auto"/>
        </w:rPr>
      </w:pPr>
    </w:p>
    <w:p>
      <w:pPr>
        <w:jc w:val="both"/>
        <w:ind w:right="1020"/>
        <w:spacing w:after="0" w:line="260" w:lineRule="auto"/>
        <w:rPr>
          <w:sz w:val="20"/>
          <w:szCs w:val="20"/>
          <w:color w:val="auto"/>
        </w:rPr>
      </w:pPr>
      <w:r>
        <w:rPr>
          <w:rFonts w:ascii="Arial" w:cs="Arial" w:eastAsia="Arial" w:hAnsi="Arial"/>
          <w:sz w:val="19"/>
          <w:szCs w:val="19"/>
          <w:color w:val="auto"/>
        </w:rPr>
        <w:t>Manhattan also announced that it will hold a live webinar hosted by Terry Tillman, Managing Director, Equity Research, at Truist Securities, on Wednesday, February 12, 2025, at 1:00 p.m. Eastern Time. Investors are invited to listen through the Investor Relations section of the Manhattan Associates website at ir.manh.com.</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MANHATTAN ASSOCIATES</w:t>
      </w:r>
    </w:p>
    <w:p>
      <w:pPr>
        <w:spacing w:after="0" w:line="204" w:lineRule="exact"/>
        <w:rPr>
          <w:sz w:val="20"/>
          <w:szCs w:val="20"/>
          <w:color w:val="auto"/>
        </w:rPr>
      </w:pPr>
    </w:p>
    <w:p>
      <w:pPr>
        <w:ind w:right="1180"/>
        <w:spacing w:after="0" w:line="237" w:lineRule="auto"/>
        <w:rPr>
          <w:sz w:val="20"/>
          <w:szCs w:val="20"/>
          <w:color w:val="auto"/>
        </w:rPr>
      </w:pPr>
      <w:r>
        <w:rPr>
          <w:rFonts w:ascii="Arial" w:cs="Arial" w:eastAsia="Arial" w:hAnsi="Arial"/>
          <w:sz w:val="20"/>
          <w:szCs w:val="20"/>
          <w:color w:val="auto"/>
        </w:rPr>
        <w:t>Manhattan Associates is a global technology leader in supply chain and omnichannel commerce. We unite information across the enterprise, converging front-end sales with back-end supply chain execution. Our software, platform technology and unmatched experience help drive both top-line growth and bottom-line profitability for our customers.</w:t>
      </w:r>
    </w:p>
    <w:p>
      <w:pPr>
        <w:spacing w:after="0" w:line="172" w:lineRule="exact"/>
        <w:rPr>
          <w:sz w:val="20"/>
          <w:szCs w:val="20"/>
          <w:color w:val="auto"/>
        </w:rPr>
      </w:pPr>
    </w:p>
    <w:p>
      <w:pPr>
        <w:ind w:right="1200"/>
        <w:spacing w:after="0" w:line="241" w:lineRule="auto"/>
        <w:rPr>
          <w:sz w:val="20"/>
          <w:szCs w:val="20"/>
          <w:color w:val="auto"/>
        </w:rPr>
      </w:pPr>
      <w:r>
        <w:rPr>
          <w:rFonts w:ascii="Arial" w:cs="Arial" w:eastAsia="Arial" w:hAnsi="Arial"/>
          <w:sz w:val="20"/>
          <w:szCs w:val="20"/>
          <w:color w:val="auto"/>
        </w:rPr>
        <w:t>Manhattan Associates designs, builds and delivers leading edge cloud solutions so that across the store, through your network or from your fulfillment center, you are ready to reap the rewards of the omnichannel marketplace. For more information, please visit www.manh.com.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259715</wp:posOffset>
            </wp:positionV>
            <wp:extent cx="5349240" cy="556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5349240" cy="55689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1283970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769"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jpe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19" Type="http://schemas.openxmlformats.org/officeDocument/2006/relationships/hyperlink" Target="https://www.sec.gov/Archives/edgar/data/1056696/000156459018025118/manh-ex101_459.htm" TargetMode="External"/><Relationship Id="rId20" Type="http://schemas.openxmlformats.org/officeDocument/2006/relationships/hyperlink" Target="https://www.sec.gov/Archives/edgar/data/1056696/000119312513142342/d51661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2025-02-10T08:05:04Z</dcterms:created>
  <dcterms:modified xsi:type="dcterms:W3CDTF">2025-02-10T08:05:04Z</dcterms:modified>
</cp:coreProperties>
</file>