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Capel Eddie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40"/>
        <w:spacing w:after="0" w:line="311" w:lineRule="auto"/>
        <w:rPr>
          <w:sz w:val="20"/>
          <w:szCs w:val="20"/>
          <w:color w:val="auto"/>
        </w:rPr>
      </w:pPr>
      <w:r>
        <w:rPr>
          <w:rFonts w:ascii="Times New Roman" w:cs="Times New Roman" w:eastAsia="Times New Roman" w:hAnsi="Times New Roman"/>
          <w:sz w:val="17"/>
          <w:szCs w:val="17"/>
          <w:color w:val="0000FF"/>
        </w:rPr>
        <w:t>2300 WINDY RIDGE PARKWAY 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MANHATTAN ASSOCIATES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MANH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4"/>
          <w:szCs w:val="24"/>
          <w:color w:val="auto"/>
        </w:rPr>
      </w:pPr>
    </w:p>
    <w:p>
      <w:pPr>
        <w:sectPr>
          <w:pgSz w:w="11900" w:h="16838" w:orient="portrait"/>
          <w:cols w:equalWidth="0" w:num="3">
            <w:col w:w="3200" w:space="720"/>
            <w:col w:w="3180" w:space="63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ATLANTA</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GA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30339</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05/14/2026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1,940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156,329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Restricted stock unit grant under the Company's stock incentive plan, vesting fully on the earlier to occur of the next annual meeting of shareholders and the first anniversary of the grant date.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David M. Eaton, Attorney-  </w:t>
      </w:r>
      <w:r>
        <w:rPr>
          <w:rFonts w:ascii="Times New Roman" w:cs="Times New Roman" w:eastAsia="Times New Roman" w:hAnsi="Times New Roman"/>
          <w:sz w:val="34"/>
          <w:szCs w:val="34"/>
          <w:color w:val="0000FF"/>
          <w:vertAlign w:val="subscript"/>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4623" TargetMode="External"/><Relationship Id="rId14" Type="http://schemas.openxmlformats.org/officeDocument/2006/relationships/hyperlink" Target="http://www.sec.gov/cgi-bin/browse-edgar?action=getcompany&amp;CIK=00010566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2026-05-18T16:06:54Z</dcterms:created>
  <dcterms:modified xsi:type="dcterms:W3CDTF">2026-05-18T16:06:54Z</dcterms:modified>
</cp:coreProperties>
</file>