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1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843280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860425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79"/>
        <w:spacing w:after="0"/>
        <w:rPr>
          <w:sz w:val="20"/>
          <w:szCs w:val="20"/>
          <w:color w:val="auto"/>
        </w:rPr>
      </w:pPr>
      <w:r>
        <w:rPr>
          <w:rFonts w:ascii="Times New Roman" w:cs="Times New Roman" w:eastAsia="Times New Roman" w:hAnsi="Times New Roman"/>
          <w:sz w:val="25"/>
          <w:szCs w:val="25"/>
          <w:b w:val="1"/>
          <w:bCs w:val="1"/>
          <w:color w:val="auto"/>
        </w:rPr>
        <w:t>U</w:t>
      </w:r>
      <w:r>
        <w:rPr>
          <w:rFonts w:ascii="Times New Roman" w:cs="Times New Roman" w:eastAsia="Times New Roman" w:hAnsi="Times New Roman"/>
          <w:sz w:val="17"/>
          <w:szCs w:val="17"/>
          <w:b w:val="1"/>
          <w:bCs w:val="1"/>
          <w:color w:val="auto"/>
        </w:rPr>
        <w:t>nited</w:t>
      </w:r>
      <w:r>
        <w:rPr>
          <w:rFonts w:ascii="Times New Roman" w:cs="Times New Roman" w:eastAsia="Times New Roman" w:hAnsi="Times New Roman"/>
          <w:sz w:val="25"/>
          <w:szCs w:val="25"/>
          <w:b w:val="1"/>
          <w:bCs w:val="1"/>
          <w:color w:val="auto"/>
        </w:rPr>
        <w:t xml:space="preserve"> S</w:t>
      </w:r>
      <w:r>
        <w:rPr>
          <w:rFonts w:ascii="Times New Roman" w:cs="Times New Roman" w:eastAsia="Times New Roman" w:hAnsi="Times New Roman"/>
          <w:sz w:val="17"/>
          <w:szCs w:val="17"/>
          <w:b w:val="1"/>
          <w:bCs w:val="1"/>
          <w:color w:val="auto"/>
        </w:rPr>
        <w:t>tates</w:t>
      </w:r>
    </w:p>
    <w:p>
      <w:pPr>
        <w:spacing w:after="0" w:line="44"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5"/>
          <w:szCs w:val="25"/>
          <w:b w:val="1"/>
          <w:bCs w:val="1"/>
          <w:color w:val="auto"/>
        </w:rPr>
        <w:t>S</w:t>
      </w:r>
      <w:r>
        <w:rPr>
          <w:rFonts w:ascii="Times New Roman" w:cs="Times New Roman" w:eastAsia="Times New Roman" w:hAnsi="Times New Roman"/>
          <w:sz w:val="17"/>
          <w:szCs w:val="17"/>
          <w:b w:val="1"/>
          <w:bCs w:val="1"/>
          <w:color w:val="auto"/>
        </w:rPr>
        <w:t>ecurities</w:t>
      </w:r>
      <w:r>
        <w:rPr>
          <w:rFonts w:ascii="Times New Roman" w:cs="Times New Roman" w:eastAsia="Times New Roman" w:hAnsi="Times New Roman"/>
          <w:sz w:val="25"/>
          <w:szCs w:val="25"/>
          <w:b w:val="1"/>
          <w:bCs w:val="1"/>
          <w:color w:val="auto"/>
        </w:rPr>
        <w:t xml:space="preserve"> A</w:t>
      </w:r>
      <w:r>
        <w:rPr>
          <w:rFonts w:ascii="Times New Roman" w:cs="Times New Roman" w:eastAsia="Times New Roman" w:hAnsi="Times New Roman"/>
          <w:sz w:val="17"/>
          <w:szCs w:val="17"/>
          <w:b w:val="1"/>
          <w:bCs w:val="1"/>
          <w:color w:val="auto"/>
        </w:rPr>
        <w:t>nd</w:t>
      </w:r>
      <w:r>
        <w:rPr>
          <w:rFonts w:ascii="Times New Roman" w:cs="Times New Roman" w:eastAsia="Times New Roman" w:hAnsi="Times New Roman"/>
          <w:sz w:val="25"/>
          <w:szCs w:val="25"/>
          <w:b w:val="1"/>
          <w:bCs w:val="1"/>
          <w:color w:val="auto"/>
        </w:rPr>
        <w:t xml:space="preserve"> E</w:t>
      </w:r>
      <w:r>
        <w:rPr>
          <w:rFonts w:ascii="Times New Roman" w:cs="Times New Roman" w:eastAsia="Times New Roman" w:hAnsi="Times New Roman"/>
          <w:sz w:val="17"/>
          <w:szCs w:val="17"/>
          <w:b w:val="1"/>
          <w:bCs w:val="1"/>
          <w:color w:val="auto"/>
        </w:rPr>
        <w:t>xchange</w:t>
      </w:r>
      <w:r>
        <w:rPr>
          <w:rFonts w:ascii="Times New Roman" w:cs="Times New Roman" w:eastAsia="Times New Roman" w:hAnsi="Times New Roman"/>
          <w:sz w:val="25"/>
          <w:szCs w:val="25"/>
          <w:b w:val="1"/>
          <w:bCs w:val="1"/>
          <w:color w:val="auto"/>
        </w:rPr>
        <w:t xml:space="preserve"> C</w:t>
      </w:r>
      <w:r>
        <w:rPr>
          <w:rFonts w:ascii="Times New Roman" w:cs="Times New Roman" w:eastAsia="Times New Roman" w:hAnsi="Times New Roman"/>
          <w:sz w:val="17"/>
          <w:szCs w:val="17"/>
          <w:b w:val="1"/>
          <w:bCs w:val="1"/>
          <w:color w:val="auto"/>
        </w:rPr>
        <w:t>ommission</w:t>
      </w:r>
    </w:p>
    <w:p>
      <w:pPr>
        <w:spacing w:after="0" w:line="10"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5"/>
          <w:szCs w:val="25"/>
          <w:color w:val="auto"/>
        </w:rPr>
        <w:t>Washington, DC 20549</w:t>
      </w:r>
    </w:p>
    <w:p>
      <w:pPr>
        <w:ind w:left="4860"/>
        <w:spacing w:after="0"/>
        <w:rPr>
          <w:sz w:val="20"/>
          <w:szCs w:val="20"/>
          <w:color w:val="auto"/>
        </w:rPr>
      </w:pPr>
      <w:r>
        <w:rPr>
          <w:rFonts w:ascii="Times New Roman" w:cs="Times New Roman" w:eastAsia="Times New Roman" w:hAnsi="Times New Roman"/>
          <w:sz w:val="22"/>
          <w:szCs w:val="22"/>
          <w:color w:val="auto"/>
        </w:rPr>
        <w:t>______________</w:t>
      </w:r>
    </w:p>
    <w:p>
      <w:pPr>
        <w:jc w:val="center"/>
        <w:ind w:right="-7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1" w:lineRule="exact"/>
        <w:rPr>
          <w:sz w:val="24"/>
          <w:szCs w:val="24"/>
          <w:color w:val="auto"/>
        </w:rPr>
      </w:pPr>
    </w:p>
    <w:p>
      <w:pPr>
        <w:ind w:left="4980"/>
        <w:spacing w:after="0"/>
        <w:rPr>
          <w:sz w:val="20"/>
          <w:szCs w:val="20"/>
          <w:color w:val="auto"/>
        </w:rPr>
      </w:pPr>
      <w:r>
        <w:rPr>
          <w:rFonts w:ascii="Times New Roman" w:cs="Times New Roman" w:eastAsia="Times New Roman" w:hAnsi="Times New Roman"/>
          <w:sz w:val="22"/>
          <w:szCs w:val="22"/>
          <w:color w:val="auto"/>
        </w:rPr>
        <w:t>____________</w:t>
      </w:r>
    </w:p>
    <w:p>
      <w:pPr>
        <w:spacing w:after="0" w:line="178"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8"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1"/>
          <w:szCs w:val="21"/>
          <w:b w:val="1"/>
          <w:bCs w:val="1"/>
          <w:color w:val="auto"/>
        </w:rPr>
        <w:t>Pursuant to Section 13 or 15(d) of the Securities Exchange Act of 1934</w:t>
      </w:r>
    </w:p>
    <w:p>
      <w:pPr>
        <w:spacing w:after="0" w:line="194"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Date of Report (Date of earliest event reported): October 21, 2025</w:t>
      </w:r>
    </w:p>
    <w:p>
      <w:pPr>
        <w:spacing w:after="0" w:line="19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9"/>
          <w:szCs w:val="29"/>
          <w:b w:val="1"/>
          <w:bCs w:val="1"/>
          <w:color w:val="auto"/>
        </w:rPr>
        <w:t>M</w:t>
      </w:r>
      <w:r>
        <w:rPr>
          <w:rFonts w:ascii="Times New Roman" w:cs="Times New Roman" w:eastAsia="Times New Roman" w:hAnsi="Times New Roman"/>
          <w:sz w:val="20"/>
          <w:szCs w:val="20"/>
          <w:b w:val="1"/>
          <w:bCs w:val="1"/>
          <w:color w:val="auto"/>
        </w:rPr>
        <w:t>anhattan</w:t>
      </w:r>
      <w:r>
        <w:rPr>
          <w:rFonts w:ascii="Times New Roman" w:cs="Times New Roman" w:eastAsia="Times New Roman" w:hAnsi="Times New Roman"/>
          <w:sz w:val="29"/>
          <w:szCs w:val="29"/>
          <w:b w:val="1"/>
          <w:bCs w:val="1"/>
          <w:color w:val="auto"/>
        </w:rPr>
        <w:t xml:space="preserve"> A</w:t>
      </w:r>
      <w:r>
        <w:rPr>
          <w:rFonts w:ascii="Times New Roman" w:cs="Times New Roman" w:eastAsia="Times New Roman" w:hAnsi="Times New Roman"/>
          <w:sz w:val="20"/>
          <w:szCs w:val="20"/>
          <w:b w:val="1"/>
          <w:bCs w:val="1"/>
          <w:color w:val="auto"/>
        </w:rPr>
        <w:t>ssociates</w:t>
      </w:r>
      <w:r>
        <w:rPr>
          <w:rFonts w:ascii="Times New Roman" w:cs="Times New Roman" w:eastAsia="Times New Roman" w:hAnsi="Times New Roman"/>
          <w:sz w:val="29"/>
          <w:szCs w:val="29"/>
          <w:b w:val="1"/>
          <w:bCs w:val="1"/>
          <w:color w:val="auto"/>
        </w:rPr>
        <w:t>, I</w:t>
      </w:r>
      <w:r>
        <w:rPr>
          <w:rFonts w:ascii="Times New Roman" w:cs="Times New Roman" w:eastAsia="Times New Roman" w:hAnsi="Times New Roman"/>
          <w:sz w:val="20"/>
          <w:szCs w:val="20"/>
          <w:b w:val="1"/>
          <w:bCs w:val="1"/>
          <w:color w:val="auto"/>
        </w:rPr>
        <w:t>nc</w:t>
      </w:r>
      <w:r>
        <w:rPr>
          <w:rFonts w:ascii="Times New Roman" w:cs="Times New Roman" w:eastAsia="Times New Roman" w:hAnsi="Times New Roman"/>
          <w:sz w:val="29"/>
          <w:szCs w:val="29"/>
          <w:b w:val="1"/>
          <w:bCs w:val="1"/>
          <w:color w:val="auto"/>
        </w:rPr>
        <w:t>.</w:t>
      </w:r>
    </w:p>
    <w:p>
      <w:pPr>
        <w:spacing w:after="0" w:line="3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(Exact Name of Registrant as Specified in Its Charter)</w:t>
      </w:r>
    </w:p>
    <w:p>
      <w:pPr>
        <w:sectPr>
          <w:pgSz w:w="11900" w:h="16838" w:orient="portrait"/>
          <w:cols w:equalWidth="0" w:num="1">
            <w:col w:w="11180"/>
          </w:cols>
          <w:pgMar w:left="320" w:top="1440" w:right="399" w:bottom="1440" w:gutter="0" w:footer="0" w:header="0"/>
        </w:sectPr>
      </w:pPr>
    </w:p>
    <w:p>
      <w:pPr>
        <w:spacing w:after="0" w:line="210"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Georgia</w:t>
      </w:r>
    </w:p>
    <w:p>
      <w:pPr>
        <w:spacing w:after="0" w:line="28"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18"/>
          <w:szCs w:val="18"/>
          <w:color w:val="auto"/>
        </w:rPr>
        <w:t>(State or Other Jurisdiction of</w:t>
      </w:r>
    </w:p>
    <w:p>
      <w:pPr>
        <w:spacing w:after="0" w:line="7" w:lineRule="exact"/>
        <w:rPr>
          <w:sz w:val="24"/>
          <w:szCs w:val="24"/>
          <w:color w:val="auto"/>
        </w:rPr>
      </w:pPr>
    </w:p>
    <w:p>
      <w:pPr>
        <w:ind w:left="1100"/>
        <w:spacing w:after="0"/>
        <w:rPr>
          <w:sz w:val="20"/>
          <w:szCs w:val="20"/>
          <w:color w:val="auto"/>
        </w:rPr>
      </w:pPr>
      <w:r>
        <w:rPr>
          <w:rFonts w:ascii="Times New Roman" w:cs="Times New Roman" w:eastAsia="Times New Roman" w:hAnsi="Times New Roman"/>
          <w:sz w:val="18"/>
          <w:szCs w:val="18"/>
          <w:color w:val="auto"/>
        </w:rPr>
        <w:t>Incorporation or organization)</w:t>
      </w:r>
    </w:p>
    <w:p>
      <w:pPr>
        <w:spacing w:after="0" w:line="20" w:lineRule="exact"/>
        <w:rPr>
          <w:sz w:val="24"/>
          <w:szCs w:val="24"/>
          <w:color w:val="auto"/>
        </w:rPr>
      </w:pPr>
      <w:r>
        <w:rPr>
          <w:sz w:val="24"/>
          <w:szCs w:val="24"/>
          <w:color w:val="auto"/>
        </w:rPr>
        <w:br w:type="column"/>
      </w:r>
    </w:p>
    <w:p>
      <w:pPr>
        <w:spacing w:after="0" w:line="19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2100" w:type="dxa"/>
            <w:vAlign w:val="bottom"/>
          </w:tcPr>
          <w:p>
            <w:pPr>
              <w:jc w:val="center"/>
              <w:ind w:right="1067"/>
              <w:spacing w:after="0"/>
              <w:rPr>
                <w:sz w:val="20"/>
                <w:szCs w:val="20"/>
                <w:color w:val="auto"/>
              </w:rPr>
            </w:pPr>
            <w:r>
              <w:rPr>
                <w:rFonts w:ascii="Times New Roman" w:cs="Times New Roman" w:eastAsia="Times New Roman" w:hAnsi="Times New Roman"/>
                <w:sz w:val="20"/>
                <w:szCs w:val="20"/>
                <w:b w:val="1"/>
                <w:bCs w:val="1"/>
                <w:color w:val="auto"/>
                <w:w w:val="98"/>
              </w:rPr>
              <w:t>0-23999</w:t>
            </w:r>
          </w:p>
        </w:tc>
        <w:tc>
          <w:tcPr>
            <w:tcW w:w="2460" w:type="dxa"/>
            <w:vAlign w:val="bottom"/>
          </w:tcPr>
          <w:p>
            <w:pPr>
              <w:jc w:val="center"/>
              <w:ind w:left="1047"/>
              <w:spacing w:after="0"/>
              <w:rPr>
                <w:sz w:val="20"/>
                <w:szCs w:val="20"/>
                <w:color w:val="auto"/>
              </w:rPr>
            </w:pPr>
            <w:r>
              <w:rPr>
                <w:rFonts w:ascii="Times New Roman" w:cs="Times New Roman" w:eastAsia="Times New Roman" w:hAnsi="Times New Roman"/>
                <w:sz w:val="20"/>
                <w:szCs w:val="20"/>
                <w:b w:val="1"/>
                <w:bCs w:val="1"/>
                <w:color w:val="auto"/>
                <w:w w:val="99"/>
              </w:rPr>
              <w:t>58-2373424</w:t>
            </w:r>
          </w:p>
        </w:tc>
      </w:tr>
      <w:tr>
        <w:trPr>
          <w:trHeight w:val="216"/>
        </w:trPr>
        <w:tc>
          <w:tcPr>
            <w:tcW w:w="2100" w:type="dxa"/>
            <w:vAlign w:val="bottom"/>
          </w:tcPr>
          <w:p>
            <w:pPr>
              <w:jc w:val="center"/>
              <w:ind w:right="1047"/>
              <w:spacing w:after="0"/>
              <w:rPr>
                <w:sz w:val="20"/>
                <w:szCs w:val="20"/>
                <w:color w:val="auto"/>
              </w:rPr>
            </w:pPr>
            <w:r>
              <w:rPr>
                <w:rFonts w:ascii="Times New Roman" w:cs="Times New Roman" w:eastAsia="Times New Roman" w:hAnsi="Times New Roman"/>
                <w:sz w:val="18"/>
                <w:szCs w:val="18"/>
                <w:color w:val="auto"/>
                <w:w w:val="98"/>
              </w:rPr>
              <w:t>(Commission</w:t>
            </w:r>
          </w:p>
        </w:tc>
        <w:tc>
          <w:tcPr>
            <w:tcW w:w="2460" w:type="dxa"/>
            <w:vAlign w:val="bottom"/>
          </w:tcPr>
          <w:p>
            <w:pPr>
              <w:jc w:val="center"/>
              <w:ind w:left="1047"/>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100" w:type="dxa"/>
            <w:vAlign w:val="bottom"/>
          </w:tcPr>
          <w:p>
            <w:pPr>
              <w:jc w:val="center"/>
              <w:ind w:right="1047"/>
              <w:spacing w:after="0"/>
              <w:rPr>
                <w:sz w:val="20"/>
                <w:szCs w:val="20"/>
                <w:color w:val="auto"/>
              </w:rPr>
            </w:pPr>
            <w:r>
              <w:rPr>
                <w:rFonts w:ascii="Times New Roman" w:cs="Times New Roman" w:eastAsia="Times New Roman" w:hAnsi="Times New Roman"/>
                <w:sz w:val="18"/>
                <w:szCs w:val="18"/>
                <w:color w:val="auto"/>
                <w:w w:val="98"/>
              </w:rPr>
              <w:t>File Number)</w:t>
            </w:r>
          </w:p>
        </w:tc>
        <w:tc>
          <w:tcPr>
            <w:tcW w:w="2460" w:type="dxa"/>
            <w:vAlign w:val="bottom"/>
          </w:tcPr>
          <w:p>
            <w:pPr>
              <w:jc w:val="center"/>
              <w:ind w:left="1047"/>
              <w:spacing w:after="0"/>
              <w:rPr>
                <w:sz w:val="20"/>
                <w:szCs w:val="20"/>
                <w:color w:val="auto"/>
              </w:rPr>
            </w:pPr>
            <w:r>
              <w:rPr>
                <w:rFonts w:ascii="Times New Roman" w:cs="Times New Roman" w:eastAsia="Times New Roman" w:hAnsi="Times New Roman"/>
                <w:sz w:val="18"/>
                <w:szCs w:val="18"/>
                <w:color w:val="auto"/>
                <w:w w:val="98"/>
              </w:rPr>
              <w:t>Identification No.)</w:t>
            </w:r>
          </w:p>
        </w:tc>
      </w:tr>
    </w:tbl>
    <w:p>
      <w:pPr>
        <w:spacing w:after="0" w:line="185" w:lineRule="exact"/>
        <w:rPr>
          <w:sz w:val="24"/>
          <w:szCs w:val="24"/>
          <w:color w:val="auto"/>
        </w:rPr>
      </w:pPr>
    </w:p>
    <w:p>
      <w:pPr>
        <w:sectPr>
          <w:pgSz w:w="11900" w:h="16838" w:orient="portrait"/>
          <w:cols w:equalWidth="0" w:num="2">
            <w:col w:w="4440" w:space="720"/>
            <w:col w:w="6020"/>
          </w:cols>
          <w:pgMar w:left="320" w:top="1440" w:right="399" w:bottom="1440" w:gutter="0" w:footer="0" w:header="0"/>
          <w:type w:val="continuous"/>
        </w:sect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2300 Windy Ridge Parkway, Tenth Floor, Atlanta, Georgia</w:t>
      </w:r>
    </w:p>
    <w:p>
      <w:pPr>
        <w:spacing w:after="0" w:line="1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30339</w:t>
      </w:r>
    </w:p>
    <w:p>
      <w:pPr>
        <w:jc w:val="center"/>
        <w:ind w:right="-79"/>
        <w:spacing w:after="0"/>
        <w:rPr>
          <w:sz w:val="20"/>
          <w:szCs w:val="20"/>
          <w:color w:val="auto"/>
        </w:rPr>
      </w:pPr>
      <w:r>
        <w:rPr>
          <w:rFonts w:ascii="Times New Roman" w:cs="Times New Roman" w:eastAsia="Times New Roman" w:hAnsi="Times New Roman"/>
          <w:sz w:val="20"/>
          <w:szCs w:val="20"/>
          <w:color w:val="auto"/>
        </w:rPr>
        <w:t>(Address of Principal Executive Offices)</w:t>
      </w:r>
    </w:p>
    <w:p>
      <w:pPr>
        <w:jc w:val="center"/>
        <w:ind w:right="-79"/>
        <w:spacing w:after="0"/>
        <w:rPr>
          <w:sz w:val="20"/>
          <w:szCs w:val="20"/>
          <w:color w:val="auto"/>
        </w:rPr>
      </w:pPr>
      <w:r>
        <w:rPr>
          <w:rFonts w:ascii="Times New Roman" w:cs="Times New Roman" w:eastAsia="Times New Roman" w:hAnsi="Times New Roman"/>
          <w:sz w:val="20"/>
          <w:szCs w:val="20"/>
          <w:color w:val="auto"/>
        </w:rPr>
        <w:t>(Zip Code)</w:t>
      </w:r>
    </w:p>
    <w:p>
      <w:pPr>
        <w:spacing w:after="0" w:line="18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(770) 955-7070</w:t>
      </w:r>
    </w:p>
    <w:p>
      <w:pPr>
        <w:spacing w:after="0" w:line="2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(Registrant’s telephone number, including area code)</w:t>
      </w:r>
    </w:p>
    <w:p>
      <w:pPr>
        <w:spacing w:after="0" w:line="18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NONE</w:t>
      </w:r>
    </w:p>
    <w:p>
      <w:pPr>
        <w:spacing w:after="0" w:line="2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(Former name or former address, if changed since last report)</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221" w:lineRule="exact"/>
        <w:rPr>
          <w:sz w:val="24"/>
          <w:szCs w:val="24"/>
          <w:color w:val="auto"/>
        </w:rPr>
      </w:pPr>
    </w:p>
    <w:p>
      <w:pPr>
        <w:ind w:left="580" w:hanging="475"/>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215" w:lineRule="exact"/>
        <w:rPr>
          <w:rFonts w:ascii="MS PGothic" w:cs="MS PGothic" w:eastAsia="MS PGothic" w:hAnsi="MS PGothic"/>
          <w:sz w:val="18"/>
          <w:szCs w:val="18"/>
          <w:color w:val="auto"/>
        </w:rPr>
      </w:pPr>
    </w:p>
    <w:p>
      <w:pPr>
        <w:ind w:left="580" w:hanging="475"/>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215" w:lineRule="exact"/>
        <w:rPr>
          <w:rFonts w:ascii="MS PGothic" w:cs="MS PGothic" w:eastAsia="MS PGothic" w:hAnsi="MS PGothic"/>
          <w:sz w:val="18"/>
          <w:szCs w:val="18"/>
          <w:color w:val="auto"/>
        </w:rPr>
      </w:pPr>
    </w:p>
    <w:p>
      <w:pPr>
        <w:ind w:left="580" w:hanging="475"/>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215" w:lineRule="exact"/>
        <w:rPr>
          <w:rFonts w:ascii="MS PGothic" w:cs="MS PGothic" w:eastAsia="MS PGothic" w:hAnsi="MS PGothic"/>
          <w:sz w:val="18"/>
          <w:szCs w:val="18"/>
          <w:color w:val="auto"/>
        </w:rPr>
      </w:pPr>
    </w:p>
    <w:p>
      <w:pPr>
        <w:ind w:right="3360" w:firstLine="105"/>
        <w:spacing w:after="0" w:line="527" w:lineRule="auto"/>
        <w:tabs>
          <w:tab w:leader="none" w:pos="57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184"/>
        </w:trPr>
        <w:tc>
          <w:tcPr>
            <w:tcW w:w="4300" w:type="dxa"/>
            <w:vAlign w:val="bottom"/>
            <w:tcBorders>
              <w:top w:val="single" w:sz="8" w:color="auto"/>
              <w:left w:val="single" w:sz="8" w:color="auto"/>
              <w:right w:val="single" w:sz="8" w:color="auto"/>
            </w:tcBorders>
          </w:tcPr>
          <w:p>
            <w:pPr>
              <w:spacing w:after="0"/>
              <w:rPr>
                <w:sz w:val="16"/>
                <w:szCs w:val="16"/>
                <w:color w:val="auto"/>
              </w:rPr>
            </w:pPr>
          </w:p>
        </w:tc>
        <w:tc>
          <w:tcPr>
            <w:tcW w:w="16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Trading</w:t>
            </w:r>
          </w:p>
        </w:tc>
        <w:tc>
          <w:tcPr>
            <w:tcW w:w="5060" w:type="dxa"/>
            <w:vAlign w:val="bottom"/>
            <w:tcBorders>
              <w:top w:val="single" w:sz="8" w:color="auto"/>
              <w:right w:val="single" w:sz="8" w:color="auto"/>
            </w:tcBorders>
          </w:tcPr>
          <w:p>
            <w:pPr>
              <w:spacing w:after="0"/>
              <w:rPr>
                <w:sz w:val="16"/>
                <w:szCs w:val="16"/>
                <w:color w:val="auto"/>
              </w:rPr>
            </w:pPr>
          </w:p>
        </w:tc>
      </w:tr>
      <w:tr>
        <w:trPr>
          <w:trHeight w:val="234"/>
        </w:trPr>
        <w:tc>
          <w:tcPr>
            <w:tcW w:w="43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Symbol(s)</w:t>
            </w:r>
          </w:p>
        </w:tc>
        <w:tc>
          <w:tcPr>
            <w:tcW w:w="5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181"/>
        </w:trPr>
        <w:tc>
          <w:tcPr>
            <w:tcW w:w="4300" w:type="dxa"/>
            <w:vAlign w:val="bottom"/>
            <w:tcBorders>
              <w:left w:val="single" w:sz="8" w:color="auto"/>
              <w:bottom w:val="single" w:sz="8" w:color="auto"/>
              <w:right w:val="single" w:sz="8" w:color="auto"/>
            </w:tcBorders>
          </w:tcPr>
          <w:p>
            <w:pPr>
              <w:jc w:val="center"/>
              <w:spacing w:after="0" w:line="181" w:lineRule="exact"/>
              <w:rPr>
                <w:sz w:val="20"/>
                <w:szCs w:val="20"/>
                <w:color w:val="auto"/>
              </w:rPr>
            </w:pPr>
            <w:r>
              <w:rPr>
                <w:rFonts w:ascii="Times New Roman" w:cs="Times New Roman" w:eastAsia="Times New Roman" w:hAnsi="Times New Roman"/>
                <w:sz w:val="16"/>
                <w:szCs w:val="16"/>
                <w:color w:val="auto"/>
              </w:rPr>
              <w:t>Common stock</w:t>
            </w:r>
          </w:p>
        </w:tc>
        <w:tc>
          <w:tcPr>
            <w:tcW w:w="1660" w:type="dxa"/>
            <w:vAlign w:val="bottom"/>
            <w:tcBorders>
              <w:bottom w:val="single" w:sz="8" w:color="auto"/>
              <w:right w:val="single" w:sz="8" w:color="auto"/>
            </w:tcBorders>
          </w:tcPr>
          <w:p>
            <w:pPr>
              <w:jc w:val="center"/>
              <w:spacing w:after="0" w:line="181" w:lineRule="exact"/>
              <w:rPr>
                <w:sz w:val="20"/>
                <w:szCs w:val="20"/>
                <w:color w:val="auto"/>
              </w:rPr>
            </w:pPr>
            <w:r>
              <w:rPr>
                <w:rFonts w:ascii="Times New Roman" w:cs="Times New Roman" w:eastAsia="Times New Roman" w:hAnsi="Times New Roman"/>
                <w:sz w:val="16"/>
                <w:szCs w:val="16"/>
                <w:color w:val="auto"/>
                <w:w w:val="98"/>
              </w:rPr>
              <w:t>MANH</w:t>
            </w:r>
          </w:p>
        </w:tc>
        <w:tc>
          <w:tcPr>
            <w:tcW w:w="5060" w:type="dxa"/>
            <w:vAlign w:val="bottom"/>
            <w:tcBorders>
              <w:bottom w:val="single" w:sz="8" w:color="auto"/>
              <w:right w:val="single" w:sz="8" w:color="auto"/>
            </w:tcBorders>
          </w:tcPr>
          <w:p>
            <w:pPr>
              <w:jc w:val="center"/>
              <w:spacing w:after="0" w:line="181" w:lineRule="exact"/>
              <w:rPr>
                <w:sz w:val="20"/>
                <w:szCs w:val="20"/>
                <w:color w:val="auto"/>
              </w:rPr>
            </w:pPr>
            <w:r>
              <w:rPr>
                <w:rFonts w:ascii="Times New Roman" w:cs="Times New Roman" w:eastAsia="Times New Roman" w:hAnsi="Times New Roman"/>
                <w:sz w:val="16"/>
                <w:szCs w:val="16"/>
                <w:color w:val="auto"/>
              </w:rPr>
              <w:t>Nasdaq Global Select Market</w:t>
            </w:r>
          </w:p>
        </w:tc>
      </w:tr>
    </w:tbl>
    <w:p>
      <w:pPr>
        <w:spacing w:after="0" w:line="189" w:lineRule="exact"/>
        <w:rPr>
          <w:sz w:val="24"/>
          <w:szCs w:val="24"/>
          <w:color w:val="auto"/>
        </w:rPr>
      </w:pPr>
    </w:p>
    <w:p>
      <w:pPr>
        <w:spacing w:after="0" w:line="269"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ind w:left="760"/>
        <w:spacing w:after="0" w:line="184" w:lineRule="exact"/>
        <w:tabs>
          <w:tab w:leader="none" w:pos="2680" w:val="left"/>
        </w:tabs>
        <w:rPr>
          <w:sz w:val="20"/>
          <w:szCs w:val="20"/>
          <w:color w:val="auto"/>
        </w:rPr>
      </w:pPr>
      <w:r>
        <w:rPr>
          <w:rFonts w:ascii="Times New Roman" w:cs="Times New Roman" w:eastAsia="Times New Roman" w:hAnsi="Times New Roman"/>
          <w:sz w:val="16"/>
          <w:szCs w:val="16"/>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27" w:lineRule="exact"/>
        <w:rPr>
          <w:sz w:val="24"/>
          <w:szCs w:val="24"/>
          <w:color w:val="auto"/>
        </w:rPr>
      </w:pPr>
    </w:p>
    <w:p>
      <w:pPr>
        <w:ind w:right="500"/>
        <w:spacing w:after="0" w:line="231"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type w:val="continuous"/>
        </w:sectPr>
      </w:pPr>
    </w:p>
    <w:bookmarkStart w:id="1" w:name="page2"/>
    <w:bookmarkEnd w:id="1"/>
    <w:p>
      <w:pPr>
        <w:spacing w:after="0" w:line="5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766445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782955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0"/>
          <w:szCs w:val="20"/>
          <w:b w:val="1"/>
          <w:bCs w:val="1"/>
          <w:color w:val="auto"/>
        </w:rPr>
        <w:t>Item 2.02 Results of Operations and Financial Condition.</w:t>
      </w:r>
    </w:p>
    <w:p>
      <w:pPr>
        <w:spacing w:after="0" w:line="233" w:lineRule="exact"/>
        <w:rPr>
          <w:sz w:val="20"/>
          <w:szCs w:val="20"/>
          <w:color w:val="auto"/>
        </w:rPr>
      </w:pPr>
    </w:p>
    <w:p>
      <w:pPr>
        <w:ind w:right="40" w:firstLine="749"/>
        <w:spacing w:after="0" w:line="274" w:lineRule="auto"/>
        <w:rPr>
          <w:sz w:val="20"/>
          <w:szCs w:val="20"/>
          <w:color w:val="auto"/>
        </w:rPr>
      </w:pPr>
      <w:r>
        <w:rPr>
          <w:rFonts w:ascii="Times New Roman" w:cs="Times New Roman" w:eastAsia="Times New Roman" w:hAnsi="Times New Roman"/>
          <w:sz w:val="19"/>
          <w:szCs w:val="19"/>
          <w:color w:val="auto"/>
        </w:rPr>
        <w:t>On October 21, 2025, Manhattan Associates, Inc. (“we”, “our”, or the “Company”) issued a press release providing its financial results for the three and nine months ended September 30, 2025. A copy of this press release is attached as Exhibit 99.1. Pursuant to General Instruction B.2 of Form 8-K, this exhibit is “furnished” and not “filed” for purposes of Section 18 of the Securities Exchange Act of 1934.</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Non-GAAP Financial Measures in the Press Release</w:t>
      </w:r>
    </w:p>
    <w:p>
      <w:pPr>
        <w:spacing w:after="0" w:line="220" w:lineRule="exact"/>
        <w:rPr>
          <w:sz w:val="20"/>
          <w:szCs w:val="20"/>
          <w:color w:val="auto"/>
        </w:rPr>
      </w:pPr>
    </w:p>
    <w:p>
      <w:pPr>
        <w:ind w:right="120" w:firstLine="749"/>
        <w:spacing w:after="0" w:line="249" w:lineRule="auto"/>
        <w:rPr>
          <w:sz w:val="20"/>
          <w:szCs w:val="20"/>
          <w:color w:val="auto"/>
        </w:rPr>
      </w:pPr>
      <w:r>
        <w:rPr>
          <w:rFonts w:ascii="Times New Roman" w:cs="Times New Roman" w:eastAsia="Times New Roman" w:hAnsi="Times New Roman"/>
          <w:sz w:val="20"/>
          <w:szCs w:val="20"/>
          <w:color w:val="auto"/>
        </w:rPr>
        <w:t>The press release includes, as additional information regarding our operating results, our adjusted operating income and margin, adjusted income tax provision, adjusted net income and adjusted diluted earnings per share (collectively, “adjusted results”), which exclude the impact of equity-based compensation, expense related to an unusual health insurance claim, net of insurance recoveries, restructuring expense, and related income tax effects.</w:t>
      </w:r>
    </w:p>
    <w:p>
      <w:pPr>
        <w:spacing w:after="0" w:line="180" w:lineRule="exact"/>
        <w:rPr>
          <w:sz w:val="20"/>
          <w:szCs w:val="20"/>
          <w:color w:val="auto"/>
        </w:rPr>
      </w:pPr>
    </w:p>
    <w:p>
      <w:pPr>
        <w:ind w:firstLine="749"/>
        <w:spacing w:after="0" w:line="249" w:lineRule="auto"/>
        <w:rPr>
          <w:sz w:val="20"/>
          <w:szCs w:val="20"/>
          <w:color w:val="auto"/>
        </w:rPr>
      </w:pPr>
      <w:r>
        <w:rPr>
          <w:rFonts w:ascii="Times New Roman" w:cs="Times New Roman" w:eastAsia="Times New Roman" w:hAnsi="Times New Roman"/>
          <w:sz w:val="20"/>
          <w:szCs w:val="20"/>
          <w:color w:val="auto"/>
        </w:rPr>
        <w:t>These various measures are not in accordance with, or alternatives for, financial measures calculated in accordance with generally accepted accounting principles in the United States (“GAAP”) and may be different from similarly titled non-GAAP financial measures used by other companies. Non-GAAP financial measures should not be used as a substitute for, or considered superior to, measures of financial performance prepared in accordance with GAAP.</w:t>
      </w:r>
    </w:p>
    <w:p>
      <w:pPr>
        <w:spacing w:after="0" w:line="18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auto"/>
        </w:rPr>
        <w:t>Non-GAAP measures used in the press release exclude the impact of the items described above for the following reasons:</w:t>
      </w:r>
    </w:p>
    <w:p>
      <w:pPr>
        <w:spacing w:after="0" w:line="104" w:lineRule="exact"/>
        <w:rPr>
          <w:sz w:val="20"/>
          <w:szCs w:val="20"/>
          <w:color w:val="auto"/>
        </w:rPr>
      </w:pPr>
    </w:p>
    <w:p>
      <w:pPr>
        <w:jc w:val="both"/>
        <w:ind w:left="1020" w:right="180" w:hanging="503"/>
        <w:spacing w:after="0" w:line="276" w:lineRule="auto"/>
        <w:tabs>
          <w:tab w:leader="none" w:pos="1020" w:val="left"/>
        </w:tabs>
        <w:numPr>
          <w:ilvl w:val="0"/>
          <w:numId w:val="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Equity-Based Compensation</w:t>
      </w:r>
      <w:r>
        <w:rPr>
          <w:rFonts w:ascii="Times New Roman" w:cs="Times New Roman" w:eastAsia="Times New Roman" w:hAnsi="Times New Roman"/>
          <w:sz w:val="19"/>
          <w:szCs w:val="19"/>
          <w:color w:val="auto"/>
        </w:rPr>
        <w:t>: Equity-based compensation expense typically does not require cash settlement by the Company.</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We also exclude the tax benefits or deficiencies of vested stock awards caused by differences in the amount deductible for tax purposes related to the stock award from the compensation expense recorded for financial reporting purposes.</w:t>
      </w:r>
    </w:p>
    <w:p>
      <w:pPr>
        <w:spacing w:after="0" w:line="42" w:lineRule="exact"/>
        <w:rPr>
          <w:rFonts w:ascii="Times New Roman" w:cs="Times New Roman" w:eastAsia="Times New Roman" w:hAnsi="Times New Roman"/>
          <w:sz w:val="19"/>
          <w:szCs w:val="19"/>
          <w:color w:val="auto"/>
        </w:rPr>
      </w:pPr>
    </w:p>
    <w:p>
      <w:pPr>
        <w:ind w:left="1020" w:right="460" w:hanging="503"/>
        <w:spacing w:after="0" w:line="300" w:lineRule="auto"/>
        <w:tabs>
          <w:tab w:leader="none" w:pos="1020" w:val="left"/>
        </w:tabs>
        <w:numPr>
          <w:ilvl w:val="0"/>
          <w:numId w:val="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Unusual Health Insurance Claim, Net of Insurance Recoveries</w:t>
      </w:r>
      <w:r>
        <w:rPr>
          <w:rFonts w:ascii="Times New Roman" w:cs="Times New Roman" w:eastAsia="Times New Roman" w:hAnsi="Times New Roman"/>
          <w:sz w:val="19"/>
          <w:szCs w:val="19"/>
          <w:color w:val="auto"/>
        </w:rPr>
        <w:t>: Due to the uncommonly large magnitude and nature of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health insurance claim, we do not believe that this expense is a typical cost that results from normal operating activities.</w:t>
      </w:r>
    </w:p>
    <w:p>
      <w:pPr>
        <w:spacing w:after="0" w:line="20" w:lineRule="exact"/>
        <w:rPr>
          <w:rFonts w:ascii="Times New Roman" w:cs="Times New Roman" w:eastAsia="Times New Roman" w:hAnsi="Times New Roman"/>
          <w:sz w:val="19"/>
          <w:szCs w:val="19"/>
          <w:color w:val="auto"/>
        </w:rPr>
      </w:pPr>
    </w:p>
    <w:p>
      <w:pPr>
        <w:ind w:left="1020" w:right="380" w:hanging="503"/>
        <w:spacing w:after="0" w:line="256" w:lineRule="auto"/>
        <w:tabs>
          <w:tab w:leader="none" w:pos="102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Restructuring Expense</w:t>
      </w:r>
      <w:r>
        <w:rPr>
          <w:rFonts w:ascii="Times New Roman" w:cs="Times New Roman" w:eastAsia="Times New Roman" w:hAnsi="Times New Roman"/>
          <w:sz w:val="20"/>
          <w:szCs w:val="20"/>
          <w:color w:val="auto"/>
        </w:rPr>
        <w:t>: We do not believe that the restructuring expense related to a reduction in our workforce recorded in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2025 is a common cost that results from normal operating activities; rather, it relates to aligning our services capacity with customer demand which has been impacted by macro-economic uncertainty.</w:t>
      </w:r>
    </w:p>
    <w:p>
      <w:pPr>
        <w:spacing w:after="0" w:line="173" w:lineRule="exact"/>
        <w:rPr>
          <w:sz w:val="20"/>
          <w:szCs w:val="20"/>
          <w:color w:val="auto"/>
        </w:rPr>
      </w:pPr>
    </w:p>
    <w:p>
      <w:pPr>
        <w:jc w:val="both"/>
        <w:ind w:right="20" w:firstLine="749"/>
        <w:spacing w:after="0" w:line="254" w:lineRule="auto"/>
        <w:rPr>
          <w:sz w:val="20"/>
          <w:szCs w:val="20"/>
          <w:color w:val="auto"/>
        </w:rPr>
      </w:pPr>
      <w:r>
        <w:rPr>
          <w:rFonts w:ascii="Times New Roman" w:cs="Times New Roman" w:eastAsia="Times New Roman" w:hAnsi="Times New Roman"/>
          <w:sz w:val="20"/>
          <w:szCs w:val="20"/>
          <w:color w:val="auto"/>
        </w:rPr>
        <w:t>We assess our operating performance using these adjusted measures, and we rely on adjusted results as primary measures to review and assess the operating performance of our management team in connection with our executive compensation and bonus plans. Further, we believe our peers also typically present non-GAAP results similarly adjusted.</w:t>
      </w:r>
    </w:p>
    <w:p>
      <w:pPr>
        <w:spacing w:after="0" w:line="174" w:lineRule="exact"/>
        <w:rPr>
          <w:sz w:val="20"/>
          <w:szCs w:val="20"/>
          <w:color w:val="auto"/>
        </w:rPr>
      </w:pPr>
    </w:p>
    <w:p>
      <w:pPr>
        <w:ind w:right="40" w:firstLine="749"/>
        <w:spacing w:after="0" w:line="249" w:lineRule="auto"/>
        <w:rPr>
          <w:sz w:val="20"/>
          <w:szCs w:val="20"/>
          <w:color w:val="auto"/>
        </w:rPr>
      </w:pPr>
      <w:r>
        <w:rPr>
          <w:rFonts w:ascii="Times New Roman" w:cs="Times New Roman" w:eastAsia="Times New Roman" w:hAnsi="Times New Roman"/>
          <w:sz w:val="20"/>
          <w:szCs w:val="20"/>
          <w:color w:val="auto"/>
        </w:rPr>
        <w:t>Management refers to adjusted results in making operating decisions because we believe they provide meaningful information regarding our operational performance and our ability to invest in research and development and fund capital expenditures and acquisitions. In addition, adjusted results facilitate management’s internal comparisons to our historical operating results and comparisons to competitors’ operating results.</w:t>
      </w:r>
    </w:p>
    <w:p>
      <w:pPr>
        <w:spacing w:after="0" w:line="180" w:lineRule="exact"/>
        <w:rPr>
          <w:sz w:val="20"/>
          <w:szCs w:val="20"/>
          <w:color w:val="auto"/>
        </w:rPr>
      </w:pPr>
    </w:p>
    <w:p>
      <w:pPr>
        <w:jc w:val="both"/>
        <w:ind w:right="340" w:firstLine="749"/>
        <w:spacing w:after="0" w:line="248" w:lineRule="auto"/>
        <w:rPr>
          <w:sz w:val="20"/>
          <w:szCs w:val="20"/>
          <w:color w:val="auto"/>
        </w:rPr>
      </w:pPr>
      <w:r>
        <w:rPr>
          <w:rFonts w:ascii="Times New Roman" w:cs="Times New Roman" w:eastAsia="Times New Roman" w:hAnsi="Times New Roman"/>
          <w:sz w:val="20"/>
          <w:szCs w:val="20"/>
          <w:color w:val="auto"/>
        </w:rPr>
        <w:t>We similarly believe reporting adjusted results facilitates investors’ understanding of our historical operating trends because it provides supplemental measurement information in evaluating the operating results of our business. We also believe that adjusted results provide a basis for comparisons to other</w:t>
      </w:r>
    </w:p>
    <w:p>
      <w:pPr>
        <w:jc w:val="center"/>
        <w:ind w:right="-7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686435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2" w:name="page3"/>
    <w:bookmarkEnd w:id="2"/>
    <w:p>
      <w:pPr>
        <w:ind w:right="480"/>
        <w:spacing w:after="0" w:line="269" w:lineRule="auto"/>
        <w:rPr>
          <w:sz w:val="20"/>
          <w:szCs w:val="20"/>
          <w:color w:val="auto"/>
        </w:rPr>
      </w:pPr>
      <w:r>
        <w:rPr>
          <w:rFonts w:ascii="Times New Roman" w:cs="Times New Roman" w:eastAsia="Times New Roman" w:hAnsi="Times New Roman"/>
          <w:sz w:val="20"/>
          <w:szCs w:val="20"/>
          <w:color w:val="auto"/>
        </w:rPr>
        <w:t>companies in the industry and enable investors to evaluate our operating performance in a manner consistent with our internal basis of measurement.</w:t>
      </w:r>
    </w:p>
    <w:p>
      <w:pPr>
        <w:spacing w:after="0" w:line="169" w:lineRule="exact"/>
        <w:rPr>
          <w:sz w:val="20"/>
          <w:szCs w:val="20"/>
          <w:color w:val="auto"/>
        </w:rPr>
      </w:pPr>
    </w:p>
    <w:p>
      <w:pPr>
        <w:ind w:right="520"/>
        <w:spacing w:after="0" w:line="273" w:lineRule="auto"/>
        <w:rPr>
          <w:sz w:val="20"/>
          <w:szCs w:val="20"/>
          <w:color w:val="auto"/>
        </w:rPr>
      </w:pPr>
      <w:r>
        <w:rPr>
          <w:rFonts w:ascii="Times New Roman" w:cs="Times New Roman" w:eastAsia="Times New Roman" w:hAnsi="Times New Roman"/>
          <w:sz w:val="20"/>
          <w:szCs w:val="20"/>
          <w:b w:val="1"/>
          <w:bCs w:val="1"/>
          <w:color w:val="auto"/>
        </w:rPr>
        <w:t>Item 5.02 Departure of Directors or Certain Officers; Election of Directors; Appointment of Certain Officers; Compensatory Arrangements of Certain Officers.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Chairman Transition to Non-Executive Status</w:t>
      </w:r>
    </w:p>
    <w:p>
      <w:pPr>
        <w:spacing w:after="0" w:line="220" w:lineRule="exact"/>
        <w:rPr>
          <w:sz w:val="20"/>
          <w:szCs w:val="20"/>
          <w:color w:val="auto"/>
        </w:rPr>
      </w:pPr>
    </w:p>
    <w:p>
      <w:pPr>
        <w:ind w:right="40" w:firstLine="749"/>
        <w:spacing w:after="0" w:line="274" w:lineRule="auto"/>
        <w:rPr>
          <w:sz w:val="20"/>
          <w:szCs w:val="20"/>
          <w:color w:val="auto"/>
        </w:rPr>
      </w:pPr>
      <w:r>
        <w:rPr>
          <w:rFonts w:ascii="Times New Roman" w:cs="Times New Roman" w:eastAsia="Times New Roman" w:hAnsi="Times New Roman"/>
          <w:sz w:val="19"/>
          <w:szCs w:val="19"/>
          <w:color w:val="auto"/>
        </w:rPr>
        <w:t>As previously reported, on February 10, 2025, the Company’s Board of Directors elected Mr. Eddie Capel as Executive Vice Chairman of the Board in connection with the election of his successor as the Company’s president and chief executive officer. On May 13, 2025, upon the retirement of the Board’s previous chairman, the Board elected Mr. Capel to serve as Executive Chairman of the Board.</w:t>
      </w:r>
    </w:p>
    <w:p>
      <w:pPr>
        <w:spacing w:after="0" w:line="156"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20"/>
          <w:szCs w:val="20"/>
          <w:color w:val="auto"/>
        </w:rPr>
        <w:t>On October 15, 2025, the Board confirmed the expectation that Mr. Capel would transition to non-executive and non-employee status, effective January 1, 2026, and would continue as Chairman of the Board. The Company further expects that independent director Mr. Thomas E. Noonan will continue to serve as the Board’s Lead Independent Director.</w:t>
      </w:r>
    </w:p>
    <w:p>
      <w:pPr>
        <w:spacing w:after="0" w:line="174" w:lineRule="exact"/>
        <w:rPr>
          <w:sz w:val="20"/>
          <w:szCs w:val="20"/>
          <w:color w:val="auto"/>
        </w:rPr>
      </w:pPr>
    </w:p>
    <w:p>
      <w:pPr>
        <w:ind w:right="20" w:firstLine="749"/>
        <w:spacing w:after="0" w:line="245" w:lineRule="auto"/>
        <w:rPr>
          <w:sz w:val="20"/>
          <w:szCs w:val="20"/>
          <w:color w:val="auto"/>
        </w:rPr>
      </w:pPr>
      <w:r>
        <w:rPr>
          <w:rFonts w:ascii="Times New Roman" w:cs="Times New Roman" w:eastAsia="Times New Roman" w:hAnsi="Times New Roman"/>
          <w:sz w:val="20"/>
          <w:szCs w:val="20"/>
          <w:color w:val="auto"/>
        </w:rPr>
        <w:t>Until his transition to non-executive and non-employee status, Mr. Capel’s employment with the Company will continue to be governed by the terms and conditions of his existing Executive Employment Agreement, dated October 24, 2018, as amended by the First Amendment to that Agreement, dated March 5, 2025 and effective as of February 12, 2025. To the extent applicable to Mr. Capel’s continued service as Chairman of the Board effective January 1, 2026, Mr. Capel’s Executive Employment Agreement, as amended by the First Amendment, will continue to govern his service. Following his transition to non-executive status, his compensation will be determined by the Company’s standard non-employee director compensation policy.</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9.01 Financial Statements and Exhibits.</w:t>
      </w:r>
    </w:p>
    <w:p>
      <w:pPr>
        <w:spacing w:after="0" w:line="220" w:lineRule="exact"/>
        <w:rPr>
          <w:sz w:val="20"/>
          <w:szCs w:val="20"/>
          <w:color w:val="auto"/>
        </w:rPr>
      </w:pPr>
    </w:p>
    <w:p>
      <w:pPr>
        <w:ind w:left="2020" w:hanging="794"/>
        <w:spacing w:after="0"/>
        <w:tabs>
          <w:tab w:leader="none" w:pos="20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Exhibits.</w:t>
      </w:r>
    </w:p>
    <w:p>
      <w:pPr>
        <w:spacing w:after="0" w:line="212" w:lineRule="exact"/>
        <w:rPr>
          <w:sz w:val="20"/>
          <w:szCs w:val="20"/>
          <w:color w:val="auto"/>
        </w:rPr>
      </w:pPr>
    </w:p>
    <w:tbl>
      <w:tblPr>
        <w:tblLayout w:type="fixed"/>
        <w:tblInd w:w="1900" w:type="dxa"/>
        <w:tblCellMar>
          <w:top w:w="0" w:type="dxa"/>
          <w:left w:w="0" w:type="dxa"/>
          <w:bottom w:w="0" w:type="dxa"/>
          <w:right w:w="0" w:type="dxa"/>
        </w:tblCellMar>
      </w:tblPr>
      <w:tr>
        <w:trPr>
          <w:trHeight w:val="262"/>
        </w:trPr>
        <w:tc>
          <w:tcPr>
            <w:tcW w:w="160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Exhibit</w:t>
            </w:r>
          </w:p>
        </w:tc>
        <w:tc>
          <w:tcPr>
            <w:tcW w:w="98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24"/>
        </w:trPr>
        <w:tc>
          <w:tcPr>
            <w:tcW w:w="1600" w:type="dxa"/>
            <w:vAlign w:val="bottom"/>
            <w:gridSpan w:val="2"/>
          </w:tcPr>
          <w:p>
            <w:pPr>
              <w:spacing w:after="0" w:line="224" w:lineRule="exact"/>
              <w:rPr>
                <w:sz w:val="20"/>
                <w:szCs w:val="20"/>
                <w:color w:val="auto"/>
              </w:rPr>
            </w:pPr>
            <w:r>
              <w:rPr>
                <w:rFonts w:ascii="Times New Roman" w:cs="Times New Roman" w:eastAsia="Times New Roman" w:hAnsi="Times New Roman"/>
                <w:sz w:val="20"/>
                <w:szCs w:val="20"/>
                <w:b w:val="1"/>
                <w:bCs w:val="1"/>
                <w:color w:val="auto"/>
              </w:rPr>
              <w:t>Number</w:t>
            </w:r>
          </w:p>
        </w:tc>
        <w:tc>
          <w:tcPr>
            <w:tcW w:w="7120" w:type="dxa"/>
            <w:vAlign w:val="bottom"/>
            <w:gridSpan w:val="8"/>
          </w:tcPr>
          <w:p>
            <w:pPr>
              <w:spacing w:after="0" w:line="224" w:lineRule="exact"/>
              <w:rPr>
                <w:sz w:val="20"/>
                <w:szCs w:val="20"/>
                <w:color w:val="auto"/>
              </w:rPr>
            </w:pPr>
            <w:r>
              <w:rPr>
                <w:rFonts w:ascii="Times New Roman" w:cs="Times New Roman" w:eastAsia="Times New Roman" w:hAnsi="Times New Roman"/>
                <w:sz w:val="20"/>
                <w:szCs w:val="20"/>
                <w:b w:val="1"/>
                <w:bCs w:val="1"/>
                <w:color w:val="auto"/>
              </w:rPr>
              <w:t>Description</w:t>
            </w:r>
          </w:p>
        </w:tc>
        <w:tc>
          <w:tcPr>
            <w:tcW w:w="20" w:type="dxa"/>
            <w:vAlign w:val="bottom"/>
          </w:tcPr>
          <w:p>
            <w:pPr>
              <w:spacing w:after="0"/>
              <w:rPr>
                <w:sz w:val="19"/>
                <w:szCs w:val="19"/>
                <w:color w:val="auto"/>
              </w:rPr>
            </w:pPr>
          </w:p>
        </w:tc>
      </w:tr>
      <w:tr>
        <w:trPr>
          <w:trHeight w:val="20"/>
        </w:trPr>
        <w:tc>
          <w:tcPr>
            <w:tcW w:w="70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53"/>
        </w:trPr>
        <w:tc>
          <w:tcPr>
            <w:tcW w:w="700" w:type="dxa"/>
            <w:vAlign w:val="bottom"/>
          </w:tcPr>
          <w:p>
            <w:pPr>
              <w:spacing w:after="0"/>
              <w:rPr>
                <w:sz w:val="20"/>
                <w:szCs w:val="20"/>
                <w:color w:val="auto"/>
              </w:rPr>
            </w:pPr>
            <w:r>
              <w:rPr>
                <w:rFonts w:ascii="Times New Roman" w:cs="Times New Roman" w:eastAsia="Times New Roman" w:hAnsi="Times New Roman"/>
                <w:sz w:val="20"/>
                <w:szCs w:val="20"/>
                <w:color w:val="auto"/>
              </w:rPr>
              <w:t>10.1</w:t>
            </w:r>
          </w:p>
        </w:tc>
        <w:tc>
          <w:tcPr>
            <w:tcW w:w="900" w:type="dxa"/>
            <w:vAlign w:val="bottom"/>
          </w:tcPr>
          <w:p>
            <w:pPr>
              <w:spacing w:after="0"/>
              <w:rPr>
                <w:sz w:val="24"/>
                <w:szCs w:val="24"/>
                <w:color w:val="auto"/>
              </w:rPr>
            </w:pPr>
          </w:p>
        </w:tc>
        <w:tc>
          <w:tcPr>
            <w:tcW w:w="7120" w:type="dxa"/>
            <w:vAlign w:val="bottom"/>
            <w:gridSpan w:val="8"/>
          </w:tcPr>
          <w:p>
            <w:pPr>
              <w:spacing w:after="0"/>
              <w:rPr>
                <w:rFonts w:ascii="Times New Roman" w:cs="Times New Roman" w:eastAsia="Times New Roman" w:hAnsi="Times New Roman"/>
                <w:sz w:val="20"/>
                <w:szCs w:val="20"/>
                <w:color w:val="auto"/>
                <w:w w:val="99"/>
              </w:rPr>
            </w:pPr>
            <w:hyperlink r:id="rId14">
              <w:r>
                <w:rPr>
                  <w:rFonts w:ascii="Times New Roman" w:cs="Times New Roman" w:eastAsia="Times New Roman" w:hAnsi="Times New Roman"/>
                  <w:sz w:val="20"/>
                  <w:szCs w:val="20"/>
                  <w:color w:val="auto"/>
                  <w:w w:val="99"/>
                </w:rPr>
                <w:t xml:space="preserve">Form of Executive Employment Agreement (incorporated by reference to </w:t>
              </w:r>
              <w:r>
                <w:rPr>
                  <w:rFonts w:ascii="Times New Roman" w:cs="Times New Roman" w:eastAsia="Times New Roman" w:hAnsi="Times New Roman"/>
                  <w:sz w:val="20"/>
                  <w:szCs w:val="20"/>
                  <w:color w:val="0000FF"/>
                  <w:w w:val="99"/>
                </w:rPr>
                <w:t>Exhibit 10.1 to</w:t>
              </w:r>
            </w:hyperlink>
          </w:p>
        </w:tc>
        <w:tc>
          <w:tcPr>
            <w:tcW w:w="20" w:type="dxa"/>
            <w:vAlign w:val="bottom"/>
          </w:tcPr>
          <w:p>
            <w:pPr>
              <w:spacing w:after="0"/>
              <w:rPr>
                <w:sz w:val="24"/>
                <w:szCs w:val="24"/>
                <w:color w:val="auto"/>
              </w:rPr>
            </w:pPr>
          </w:p>
        </w:tc>
      </w:tr>
      <w:tr>
        <w:trPr>
          <w:trHeight w:val="20"/>
        </w:trPr>
        <w:tc>
          <w:tcPr>
            <w:tcW w:w="7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7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120" w:type="dxa"/>
            <w:vAlign w:val="bottom"/>
            <w:tcBorders>
              <w:bottom w:val="single" w:sz="8" w:color="0000FF"/>
            </w:tcBorders>
            <w:gridSpan w:val="8"/>
          </w:tcPr>
          <w:p>
            <w:pPr>
              <w:spacing w:after="0" w:line="209" w:lineRule="exact"/>
              <w:rPr>
                <w:rFonts w:ascii="Times New Roman" w:cs="Times New Roman" w:eastAsia="Times New Roman" w:hAnsi="Times New Roman"/>
                <w:sz w:val="20"/>
                <w:szCs w:val="20"/>
                <w:color w:val="0000FF"/>
                <w:w w:val="99"/>
              </w:rPr>
            </w:pPr>
            <w:hyperlink r:id="rId14">
              <w:r>
                <w:rPr>
                  <w:rFonts w:ascii="Times New Roman" w:cs="Times New Roman" w:eastAsia="Times New Roman" w:hAnsi="Times New Roman"/>
                  <w:sz w:val="20"/>
                  <w:szCs w:val="20"/>
                  <w:color w:val="0000FF"/>
                  <w:w w:val="99"/>
                </w:rPr>
                <w:t>the Company’s Quarterly Report on Form 10-Q for the quarterly period ended September</w:t>
              </w:r>
            </w:hyperlink>
          </w:p>
        </w:tc>
        <w:tc>
          <w:tcPr>
            <w:tcW w:w="20" w:type="dxa"/>
            <w:vAlign w:val="bottom"/>
            <w:tcBorders>
              <w:bottom w:val="single" w:sz="8" w:color="0000FF"/>
            </w:tcBorders>
          </w:tcPr>
          <w:p>
            <w:pPr>
              <w:spacing w:after="0"/>
              <w:rPr>
                <w:sz w:val="18"/>
                <w:szCs w:val="18"/>
                <w:color w:val="auto"/>
              </w:rPr>
            </w:pPr>
          </w:p>
        </w:tc>
      </w:tr>
      <w:tr>
        <w:trPr>
          <w:trHeight w:val="210"/>
        </w:trPr>
        <w:tc>
          <w:tcPr>
            <w:tcW w:w="7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120" w:type="dxa"/>
            <w:vAlign w:val="bottom"/>
            <w:gridSpan w:val="8"/>
          </w:tcPr>
          <w:p>
            <w:pPr>
              <w:spacing w:after="0" w:line="209" w:lineRule="exact"/>
              <w:rPr>
                <w:rFonts w:ascii="Times New Roman" w:cs="Times New Roman" w:eastAsia="Times New Roman" w:hAnsi="Times New Roman"/>
                <w:sz w:val="20"/>
                <w:szCs w:val="20"/>
                <w:color w:val="0000FF"/>
              </w:rPr>
            </w:pPr>
            <w:hyperlink r:id="rId14">
              <w:r>
                <w:rPr>
                  <w:rFonts w:ascii="Times New Roman" w:cs="Times New Roman" w:eastAsia="Times New Roman" w:hAnsi="Times New Roman"/>
                  <w:sz w:val="20"/>
                  <w:szCs w:val="20"/>
                  <w:color w:val="0000FF"/>
                </w:rPr>
                <w:t>30, 2018 filed on October 25, 2018</w:t>
              </w:r>
              <w:r>
                <w:rPr>
                  <w:rFonts w:ascii="Times New Roman" w:cs="Times New Roman" w:eastAsia="Times New Roman" w:hAnsi="Times New Roman"/>
                  <w:sz w:val="20"/>
                  <w:szCs w:val="20"/>
                  <w:color w:val="000000"/>
                </w:rPr>
                <w:t>) (SEC File #000-23999)</w:t>
              </w:r>
            </w:hyperlink>
          </w:p>
        </w:tc>
        <w:tc>
          <w:tcPr>
            <w:tcW w:w="20" w:type="dxa"/>
            <w:vAlign w:val="bottom"/>
          </w:tcPr>
          <w:p>
            <w:pPr>
              <w:spacing w:after="0"/>
              <w:rPr>
                <w:sz w:val="18"/>
                <w:szCs w:val="18"/>
                <w:color w:val="auto"/>
              </w:rPr>
            </w:pPr>
          </w:p>
        </w:tc>
      </w:tr>
      <w:tr>
        <w:trPr>
          <w:trHeight w:val="20"/>
        </w:trPr>
        <w:tc>
          <w:tcPr>
            <w:tcW w:w="7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0" w:type="dxa"/>
            <w:vAlign w:val="bottom"/>
            <w:tcBorders>
              <w:right w:val="single" w:sz="8" w:color="0000EE"/>
            </w:tcBorders>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43"/>
        </w:trPr>
        <w:tc>
          <w:tcPr>
            <w:tcW w:w="700" w:type="dxa"/>
            <w:vAlign w:val="bottom"/>
          </w:tcPr>
          <w:p>
            <w:pPr>
              <w:spacing w:after="0"/>
              <w:rPr>
                <w:sz w:val="20"/>
                <w:szCs w:val="20"/>
                <w:color w:val="auto"/>
              </w:rPr>
            </w:pPr>
            <w:r>
              <w:rPr>
                <w:rFonts w:ascii="Times New Roman" w:cs="Times New Roman" w:eastAsia="Times New Roman" w:hAnsi="Times New Roman"/>
                <w:sz w:val="20"/>
                <w:szCs w:val="20"/>
                <w:color w:val="auto"/>
              </w:rPr>
              <w:t>10.2</w:t>
            </w:r>
          </w:p>
        </w:tc>
        <w:tc>
          <w:tcPr>
            <w:tcW w:w="900" w:type="dxa"/>
            <w:vAlign w:val="bottom"/>
          </w:tcPr>
          <w:p>
            <w:pPr>
              <w:spacing w:after="0"/>
              <w:rPr>
                <w:sz w:val="24"/>
                <w:szCs w:val="24"/>
                <w:color w:val="auto"/>
              </w:rPr>
            </w:pPr>
          </w:p>
        </w:tc>
        <w:tc>
          <w:tcPr>
            <w:tcW w:w="7120" w:type="dxa"/>
            <w:vAlign w:val="bottom"/>
            <w:gridSpan w:val="8"/>
          </w:tcPr>
          <w:p>
            <w:pPr>
              <w:spacing w:after="0"/>
              <w:rPr>
                <w:sz w:val="20"/>
                <w:szCs w:val="20"/>
                <w:color w:val="auto"/>
              </w:rPr>
            </w:pPr>
            <w:r>
              <w:rPr>
                <w:rFonts w:ascii="Times New Roman" w:cs="Times New Roman" w:eastAsia="Times New Roman" w:hAnsi="Times New Roman"/>
                <w:sz w:val="20"/>
                <w:szCs w:val="20"/>
                <w:color w:val="auto"/>
              </w:rPr>
              <w:t>First Amendment to Executive Employment Agreement (Eddie Capel) effective as of</w:t>
            </w:r>
          </w:p>
        </w:tc>
        <w:tc>
          <w:tcPr>
            <w:tcW w:w="20" w:type="dxa"/>
            <w:vAlign w:val="bottom"/>
          </w:tcPr>
          <w:p>
            <w:pPr>
              <w:spacing w:after="0"/>
              <w:rPr>
                <w:sz w:val="24"/>
                <w:szCs w:val="24"/>
                <w:color w:val="auto"/>
              </w:rPr>
            </w:pPr>
          </w:p>
        </w:tc>
      </w:tr>
      <w:tr>
        <w:trPr>
          <w:trHeight w:val="212"/>
        </w:trPr>
        <w:tc>
          <w:tcPr>
            <w:tcW w:w="7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120" w:type="dxa"/>
            <w:vAlign w:val="bottom"/>
            <w:gridSpan w:val="8"/>
          </w:tcPr>
          <w:p>
            <w:pPr>
              <w:spacing w:after="0" w:line="212" w:lineRule="exact"/>
              <w:rPr>
                <w:rFonts w:ascii="Times New Roman" w:cs="Times New Roman" w:eastAsia="Times New Roman" w:hAnsi="Times New Roman"/>
                <w:sz w:val="20"/>
                <w:szCs w:val="20"/>
                <w:color w:val="auto"/>
              </w:rPr>
            </w:pPr>
            <w:hyperlink r:id="rId15">
              <w:r>
                <w:rPr>
                  <w:rFonts w:ascii="Times New Roman" w:cs="Times New Roman" w:eastAsia="Times New Roman" w:hAnsi="Times New Roman"/>
                  <w:sz w:val="20"/>
                  <w:szCs w:val="20"/>
                  <w:color w:val="auto"/>
                </w:rPr>
                <w:t xml:space="preserve">February 12, 2025 (incorporated by reference to </w:t>
              </w:r>
              <w:r>
                <w:rPr>
                  <w:rFonts w:ascii="Times New Roman" w:cs="Times New Roman" w:eastAsia="Times New Roman" w:hAnsi="Times New Roman"/>
                  <w:sz w:val="20"/>
                  <w:szCs w:val="20"/>
                  <w:color w:val="0000FF"/>
                </w:rPr>
                <w:t>Exhibit 10.2 to the Company’s Current</w:t>
              </w:r>
            </w:hyperlink>
          </w:p>
        </w:tc>
        <w:tc>
          <w:tcPr>
            <w:tcW w:w="20" w:type="dxa"/>
            <w:vAlign w:val="bottom"/>
          </w:tcPr>
          <w:p>
            <w:pPr>
              <w:spacing w:after="0"/>
              <w:rPr>
                <w:sz w:val="18"/>
                <w:szCs w:val="18"/>
                <w:color w:val="auto"/>
              </w:rPr>
            </w:pPr>
          </w:p>
        </w:tc>
      </w:tr>
      <w:tr>
        <w:trPr>
          <w:trHeight w:val="20"/>
        </w:trPr>
        <w:tc>
          <w:tcPr>
            <w:tcW w:w="7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14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7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120" w:type="dxa"/>
            <w:vAlign w:val="bottom"/>
            <w:gridSpan w:val="8"/>
          </w:tcPr>
          <w:p>
            <w:pPr>
              <w:spacing w:after="0" w:line="209" w:lineRule="exact"/>
              <w:rPr>
                <w:rFonts w:ascii="Times New Roman" w:cs="Times New Roman" w:eastAsia="Times New Roman" w:hAnsi="Times New Roman"/>
                <w:sz w:val="20"/>
                <w:szCs w:val="20"/>
                <w:color w:val="0000FF"/>
              </w:rPr>
            </w:pPr>
            <w:hyperlink r:id="rId15">
              <w:r>
                <w:rPr>
                  <w:rFonts w:ascii="Times New Roman" w:cs="Times New Roman" w:eastAsia="Times New Roman" w:hAnsi="Times New Roman"/>
                  <w:sz w:val="20"/>
                  <w:szCs w:val="20"/>
                  <w:color w:val="0000FF"/>
                </w:rPr>
                <w:t>Report on Form 8-K filed on March 6, 2025</w:t>
              </w:r>
              <w:r>
                <w:rPr>
                  <w:rFonts w:ascii="Times New Roman" w:cs="Times New Roman" w:eastAsia="Times New Roman" w:hAnsi="Times New Roman"/>
                  <w:sz w:val="20"/>
                  <w:szCs w:val="20"/>
                  <w:color w:val="000000"/>
                </w:rPr>
                <w:t>) (SEC File #000-23999)</w:t>
              </w:r>
            </w:hyperlink>
          </w:p>
        </w:tc>
        <w:tc>
          <w:tcPr>
            <w:tcW w:w="20" w:type="dxa"/>
            <w:vAlign w:val="bottom"/>
          </w:tcPr>
          <w:p>
            <w:pPr>
              <w:spacing w:after="0"/>
              <w:rPr>
                <w:sz w:val="18"/>
                <w:szCs w:val="18"/>
                <w:color w:val="auto"/>
              </w:rPr>
            </w:pPr>
          </w:p>
        </w:tc>
      </w:tr>
      <w:tr>
        <w:trPr>
          <w:trHeight w:val="425"/>
        </w:trPr>
        <w:tc>
          <w:tcPr>
            <w:tcW w:w="700" w:type="dxa"/>
            <w:vAlign w:val="bottom"/>
          </w:tcPr>
          <w:p>
            <w:pPr>
              <w:spacing w:after="0"/>
              <w:rPr>
                <w:sz w:val="20"/>
                <w:szCs w:val="20"/>
                <w:color w:val="auto"/>
              </w:rPr>
            </w:pPr>
            <w:r>
              <w:rPr>
                <w:rFonts w:ascii="Times New Roman" w:cs="Times New Roman" w:eastAsia="Times New Roman" w:hAnsi="Times New Roman"/>
                <w:sz w:val="20"/>
                <w:szCs w:val="20"/>
                <w:color w:val="auto"/>
              </w:rPr>
              <w:t>99.1</w:t>
            </w:r>
          </w:p>
        </w:tc>
        <w:tc>
          <w:tcPr>
            <w:tcW w:w="900" w:type="dxa"/>
            <w:vAlign w:val="bottom"/>
          </w:tcPr>
          <w:p>
            <w:pPr>
              <w:spacing w:after="0"/>
              <w:rPr>
                <w:sz w:val="24"/>
                <w:szCs w:val="24"/>
                <w:color w:val="auto"/>
              </w:rPr>
            </w:pPr>
          </w:p>
        </w:tc>
        <w:tc>
          <w:tcPr>
            <w:tcW w:w="3100" w:type="dxa"/>
            <w:vAlign w:val="bottom"/>
            <w:tcBorders>
              <w:top w:val="single" w:sz="8" w:color="0000FF"/>
              <w:bottom w:val="single" w:sz="8" w:color="0000EE"/>
            </w:tcBorders>
            <w:gridSpan w:val="3"/>
          </w:tcPr>
          <w:p>
            <w:pPr>
              <w:spacing w:after="0"/>
              <w:rPr>
                <w:sz w:val="20"/>
                <w:szCs w:val="20"/>
                <w:color w:val="auto"/>
              </w:rPr>
            </w:pPr>
            <w:r>
              <w:rPr>
                <w:rFonts w:ascii="Times New Roman" w:cs="Times New Roman" w:eastAsia="Times New Roman" w:hAnsi="Times New Roman"/>
                <w:sz w:val="20"/>
                <w:szCs w:val="20"/>
                <w:color w:val="0000FF"/>
              </w:rPr>
              <w:t>Press Release, dated October 21, 2025</w:t>
            </w:r>
          </w:p>
        </w:tc>
        <w:tc>
          <w:tcPr>
            <w:tcW w:w="400" w:type="dxa"/>
            <w:vAlign w:val="bottom"/>
            <w:tcBorders>
              <w:top w:val="single" w:sz="8" w:color="0000FF"/>
            </w:tcBorders>
          </w:tcPr>
          <w:p>
            <w:pPr>
              <w:spacing w:after="0"/>
              <w:rPr>
                <w:sz w:val="24"/>
                <w:szCs w:val="24"/>
                <w:color w:val="auto"/>
              </w:rPr>
            </w:pPr>
          </w:p>
        </w:tc>
        <w:tc>
          <w:tcPr>
            <w:tcW w:w="3620" w:type="dxa"/>
            <w:vAlign w:val="bottom"/>
            <w:gridSpan w:val="4"/>
          </w:tcPr>
          <w:p>
            <w:pPr>
              <w:spacing w:after="0"/>
              <w:rPr>
                <w:sz w:val="24"/>
                <w:szCs w:val="24"/>
                <w:color w:val="auto"/>
              </w:rPr>
            </w:pPr>
          </w:p>
        </w:tc>
        <w:tc>
          <w:tcPr>
            <w:tcW w:w="20" w:type="dxa"/>
            <w:vAlign w:val="bottom"/>
          </w:tcPr>
          <w:p>
            <w:pPr>
              <w:spacing w:after="0"/>
              <w:rPr>
                <w:sz w:val="24"/>
                <w:szCs w:val="24"/>
                <w:color w:val="auto"/>
              </w:rPr>
            </w:pPr>
          </w:p>
        </w:tc>
      </w:tr>
      <w:tr>
        <w:trPr>
          <w:trHeight w:val="513"/>
        </w:trPr>
        <w:tc>
          <w:tcPr>
            <w:tcW w:w="700" w:type="dxa"/>
            <w:vAlign w:val="bottom"/>
          </w:tcPr>
          <w:p>
            <w:pPr>
              <w:spacing w:after="0"/>
              <w:rPr>
                <w:sz w:val="20"/>
                <w:szCs w:val="20"/>
                <w:color w:val="auto"/>
              </w:rPr>
            </w:pPr>
            <w:r>
              <w:rPr>
                <w:rFonts w:ascii="Times New Roman" w:cs="Times New Roman" w:eastAsia="Times New Roman" w:hAnsi="Times New Roman"/>
                <w:sz w:val="20"/>
                <w:szCs w:val="20"/>
                <w:color w:val="auto"/>
              </w:rPr>
              <w:t>104</w:t>
            </w:r>
          </w:p>
        </w:tc>
        <w:tc>
          <w:tcPr>
            <w:tcW w:w="900" w:type="dxa"/>
            <w:vAlign w:val="bottom"/>
          </w:tcPr>
          <w:p>
            <w:pPr>
              <w:spacing w:after="0"/>
              <w:rPr>
                <w:sz w:val="24"/>
                <w:szCs w:val="24"/>
                <w:color w:val="auto"/>
              </w:rPr>
            </w:pPr>
          </w:p>
        </w:tc>
        <w:tc>
          <w:tcPr>
            <w:tcW w:w="7120" w:type="dxa"/>
            <w:vAlign w:val="bottom"/>
            <w:gridSpan w:val="8"/>
          </w:tcPr>
          <w:p>
            <w:pPr>
              <w:spacing w:after="0"/>
              <w:rPr>
                <w:sz w:val="20"/>
                <w:szCs w:val="20"/>
                <w:color w:val="auto"/>
              </w:rPr>
            </w:pPr>
            <w:r>
              <w:rPr>
                <w:rFonts w:ascii="Times New Roman" w:cs="Times New Roman" w:eastAsia="Times New Roman" w:hAnsi="Times New Roman"/>
                <w:sz w:val="20"/>
                <w:szCs w:val="20"/>
                <w:color w:val="auto"/>
              </w:rPr>
              <w:t>Cover Page Interactive Data File (embedded within the Inline XBRL document)</w:t>
            </w:r>
          </w:p>
        </w:tc>
        <w:tc>
          <w:tcPr>
            <w:tcW w:w="2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699135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197" w:right="459" w:bottom="1440" w:gutter="0" w:footer="0" w:header="0"/>
        </w:sectPr>
      </w:pPr>
    </w:p>
    <w:bookmarkStart w:id="3" w:name="page4"/>
    <w:bookmarkEnd w:id="3"/>
    <w:p>
      <w:pPr>
        <w:jc w:val="center"/>
        <w:ind w:right="-259"/>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33" w:lineRule="exact"/>
        <w:rPr>
          <w:sz w:val="20"/>
          <w:szCs w:val="20"/>
          <w:color w:val="auto"/>
        </w:rPr>
      </w:pPr>
    </w:p>
    <w:p>
      <w:pPr>
        <w:ind w:firstLine="749"/>
        <w:spacing w:after="0" w:line="269"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Company has duly caused this report to be signed on its behalf by the undersigned, hereunto duly authorized.</w:t>
      </w:r>
    </w:p>
    <w:p>
      <w:pPr>
        <w:spacing w:after="0" w:line="169"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20"/>
          <w:szCs w:val="20"/>
          <w:b w:val="1"/>
          <w:bCs w:val="1"/>
          <w:color w:val="auto"/>
        </w:rPr>
        <w:t>M</w:t>
      </w:r>
      <w:r>
        <w:rPr>
          <w:rFonts w:ascii="Times New Roman" w:cs="Times New Roman" w:eastAsia="Times New Roman" w:hAnsi="Times New Roman"/>
          <w:sz w:val="13"/>
          <w:szCs w:val="13"/>
          <w:b w:val="1"/>
          <w:bCs w:val="1"/>
          <w:color w:val="auto"/>
        </w:rPr>
        <w:t>anhattan</w:t>
      </w:r>
      <w:r>
        <w:rPr>
          <w:rFonts w:ascii="Times New Roman" w:cs="Times New Roman" w:eastAsia="Times New Roman" w:hAnsi="Times New Roman"/>
          <w:sz w:val="20"/>
          <w:szCs w:val="20"/>
          <w:b w:val="1"/>
          <w:bCs w:val="1"/>
          <w:color w:val="auto"/>
        </w:rPr>
        <w:t xml:space="preserve"> A</w:t>
      </w:r>
      <w:r>
        <w:rPr>
          <w:rFonts w:ascii="Times New Roman" w:cs="Times New Roman" w:eastAsia="Times New Roman" w:hAnsi="Times New Roman"/>
          <w:sz w:val="13"/>
          <w:szCs w:val="13"/>
          <w:b w:val="1"/>
          <w:bCs w:val="1"/>
          <w:color w:val="auto"/>
        </w:rPr>
        <w:t>ssociates</w:t>
      </w:r>
      <w:r>
        <w:rPr>
          <w:rFonts w:ascii="Times New Roman" w:cs="Times New Roman" w:eastAsia="Times New Roman" w:hAnsi="Times New Roman"/>
          <w:sz w:val="20"/>
          <w:szCs w:val="20"/>
          <w:b w:val="1"/>
          <w:bCs w:val="1"/>
          <w:color w:val="auto"/>
        </w:rPr>
        <w:t>, I</w:t>
      </w:r>
      <w:r>
        <w:rPr>
          <w:rFonts w:ascii="Times New Roman" w:cs="Times New Roman" w:eastAsia="Times New Roman" w:hAnsi="Times New Roman"/>
          <w:sz w:val="13"/>
          <w:szCs w:val="13"/>
          <w:b w:val="1"/>
          <w:bCs w:val="1"/>
          <w:color w:val="auto"/>
        </w:rPr>
        <w:t>nc</w:t>
      </w:r>
      <w:r>
        <w:rPr>
          <w:rFonts w:ascii="Times New Roman" w:cs="Times New Roman" w:eastAsia="Times New Roman" w:hAnsi="Times New Roman"/>
          <w:sz w:val="20"/>
          <w:szCs w:val="20"/>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i w:val="1"/>
          <w:iCs w:val="1"/>
          <w:color w:val="auto"/>
        </w:rPr>
        <w:t>/s/</w:t>
      </w:r>
      <w:r>
        <w:rPr>
          <w:rFonts w:ascii="Times New Roman" w:cs="Times New Roman" w:eastAsia="Times New Roman" w:hAnsi="Times New Roman"/>
          <w:sz w:val="20"/>
          <w:szCs w:val="20"/>
          <w:color w:val="auto"/>
        </w:rPr>
        <w:t xml:space="preserve"> Dennis B. Story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2445385</wp:posOffset>
            </wp:positionH>
            <wp:positionV relativeFrom="paragraph">
              <wp:posOffset>-8255</wp:posOffset>
            </wp:positionV>
            <wp:extent cx="207962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079625" cy="8890"/>
                    </a:xfrm>
                    <a:prstGeom prst="rect">
                      <a:avLst/>
                    </a:prstGeom>
                    <a:noFill/>
                  </pic:spPr>
                </pic:pic>
              </a:graphicData>
            </a:graphic>
          </wp:anchor>
        </w:drawing>
      </w:r>
    </w:p>
    <w:p>
      <w:pPr>
        <w:spacing w:after="0" w:line="5"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20"/>
          <w:szCs w:val="20"/>
          <w:i w:val="1"/>
          <w:iCs w:val="1"/>
          <w:color w:val="auto"/>
        </w:rPr>
        <w:t>Dennis B. Story</w:t>
      </w:r>
    </w:p>
    <w:p>
      <w:pPr>
        <w:ind w:left="3560"/>
        <w:spacing w:after="0"/>
        <w:rPr>
          <w:sz w:val="20"/>
          <w:szCs w:val="20"/>
          <w:color w:val="auto"/>
        </w:rPr>
      </w:pPr>
      <w:r>
        <w:rPr>
          <w:rFonts w:ascii="Times New Roman" w:cs="Times New Roman" w:eastAsia="Times New Roman" w:hAnsi="Times New Roman"/>
          <w:sz w:val="20"/>
          <w:szCs w:val="20"/>
          <w:color w:val="auto"/>
        </w:rPr>
        <w:t>Executive Vice President, 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Dated: October 21, 2025</w:t>
      </w:r>
    </w:p>
    <w:p>
      <w:pPr>
        <w:spacing w:after="0" w:line="22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699135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977" w:right="579" w:bottom="1440" w:gutter="0" w:footer="0" w:header="0"/>
        </w:sectPr>
      </w:pPr>
    </w:p>
    <w:bookmarkStart w:id="4" w:name="page5"/>
    <w:bookmarkEnd w:id="4"/>
    <w:p>
      <w:pPr>
        <w:jc w:val="right"/>
        <w:spacing w:after="0"/>
        <w:rPr>
          <w:sz w:val="20"/>
          <w:szCs w:val="20"/>
          <w:color w:val="auto"/>
        </w:rPr>
      </w:pPr>
      <w:r>
        <w:rPr>
          <w:rFonts w:ascii="Arial" w:cs="Arial" w:eastAsia="Arial" w:hAnsi="Arial"/>
          <w:sz w:val="17"/>
          <w:szCs w:val="17"/>
          <w:b w:val="1"/>
          <w:bCs w:val="1"/>
          <w:color w:val="auto"/>
        </w:rPr>
        <w:t>Exhibit 99.1</w:t>
      </w:r>
    </w:p>
    <w:p>
      <w:pPr>
        <w:sectPr>
          <w:pgSz w:w="11900" w:h="16838" w:orient="portrait"/>
          <w:cols w:equalWidth="0" w:num="1">
            <w:col w:w="10840"/>
          </w:cols>
          <w:pgMar w:left="720" w:top="769" w:right="339" w:bottom="1440" w:gutter="0" w:footer="0" w:header="0"/>
        </w:sectPr>
      </w:pPr>
    </w:p>
    <w:p>
      <w:pPr>
        <w:spacing w:after="0" w:line="200" w:lineRule="exact"/>
        <w:rPr>
          <w:sz w:val="20"/>
          <w:szCs w:val="20"/>
          <w:color w:val="auto"/>
        </w:rPr>
      </w:pPr>
    </w:p>
    <w:p>
      <w:pPr>
        <w:spacing w:after="0" w:line="229" w:lineRule="exact"/>
        <w:rPr>
          <w:sz w:val="20"/>
          <w:szCs w:val="20"/>
          <w:color w:val="auto"/>
        </w:rPr>
      </w:pPr>
    </w:p>
    <w:p>
      <w:pPr>
        <w:ind w:left="280"/>
        <w:spacing w:after="0"/>
        <w:rPr>
          <w:sz w:val="20"/>
          <w:szCs w:val="20"/>
          <w:color w:val="auto"/>
        </w:rPr>
      </w:pPr>
      <w:r>
        <w:rPr>
          <w:rFonts w:ascii="Arial" w:cs="Arial" w:eastAsia="Arial" w:hAnsi="Arial"/>
          <w:sz w:val="21"/>
          <w:szCs w:val="21"/>
          <w:b w:val="1"/>
          <w:bCs w:val="1"/>
          <w:color w:val="auto"/>
        </w:rPr>
        <w:t>Contact: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1" w:lineRule="exact"/>
        <w:rPr>
          <w:sz w:val="20"/>
          <w:szCs w:val="20"/>
          <w:color w:val="auto"/>
        </w:rPr>
      </w:pPr>
    </w:p>
    <w:p>
      <w:pPr>
        <w:ind w:right="480"/>
        <w:spacing w:after="0"/>
        <w:rPr>
          <w:sz w:val="20"/>
          <w:szCs w:val="20"/>
          <w:color w:val="auto"/>
        </w:rPr>
      </w:pPr>
      <w:r>
        <w:rPr>
          <w:rFonts w:ascii="Arial" w:cs="Arial" w:eastAsia="Arial" w:hAnsi="Arial"/>
          <w:sz w:val="22"/>
          <w:szCs w:val="22"/>
          <w:color w:val="auto"/>
        </w:rPr>
        <w:t xml:space="preserve">Michael Bauer Senior Director, Investor Relations Manhattan Associates, Inc. 678-597-7538 </w:t>
      </w:r>
      <w:r>
        <w:rPr>
          <w:rFonts w:ascii="Arial" w:cs="Arial" w:eastAsia="Arial" w:hAnsi="Arial"/>
          <w:sz w:val="22"/>
          <w:szCs w:val="22"/>
          <w:color w:val="0033CC"/>
        </w:rPr>
        <w:t>mbauer@manh.com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color w:val="auto"/>
        </w:rPr>
        <w:t>Devika Goel</w:t>
      </w:r>
    </w:p>
    <w:p>
      <w:pPr>
        <w:spacing w:after="0"/>
        <w:rPr>
          <w:sz w:val="20"/>
          <w:szCs w:val="20"/>
          <w:color w:val="auto"/>
        </w:rPr>
      </w:pPr>
      <w:r>
        <w:rPr>
          <w:rFonts w:ascii="Arial" w:cs="Arial" w:eastAsia="Arial" w:hAnsi="Arial"/>
          <w:sz w:val="22"/>
          <w:szCs w:val="22"/>
          <w:color w:val="auto"/>
        </w:rPr>
        <w:t>Senior Manager,</w:t>
      </w:r>
    </w:p>
    <w:p>
      <w:pPr>
        <w:spacing w:after="0" w:line="230" w:lineRule="auto"/>
        <w:rPr>
          <w:sz w:val="20"/>
          <w:szCs w:val="20"/>
          <w:color w:val="auto"/>
        </w:rPr>
      </w:pPr>
      <w:r>
        <w:rPr>
          <w:rFonts w:ascii="Arial" w:cs="Arial" w:eastAsia="Arial" w:hAnsi="Arial"/>
          <w:sz w:val="22"/>
          <w:szCs w:val="22"/>
          <w:color w:val="auto"/>
        </w:rPr>
        <w:t>Public Relations</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auto"/>
        </w:rPr>
        <w:t>Manhattan Associates, Inc.</w:t>
      </w:r>
    </w:p>
    <w:p>
      <w:pPr>
        <w:spacing w:after="0" w:line="231" w:lineRule="auto"/>
        <w:rPr>
          <w:sz w:val="20"/>
          <w:szCs w:val="20"/>
          <w:color w:val="auto"/>
        </w:rPr>
      </w:pPr>
      <w:r>
        <w:rPr>
          <w:rFonts w:ascii="Arial" w:cs="Arial" w:eastAsia="Arial" w:hAnsi="Arial"/>
          <w:sz w:val="22"/>
          <w:szCs w:val="22"/>
          <w:color w:val="auto"/>
        </w:rPr>
        <w:t>678-597-6754</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0033CC"/>
        </w:rPr>
        <w:t>dgoel@manh.com</w:t>
      </w:r>
    </w:p>
    <w:p>
      <w:pPr>
        <w:spacing w:after="0" w:line="200" w:lineRule="exact"/>
        <w:rPr>
          <w:sz w:val="20"/>
          <w:szCs w:val="20"/>
          <w:color w:val="auto"/>
        </w:rPr>
      </w:pPr>
    </w:p>
    <w:p>
      <w:pPr>
        <w:sectPr>
          <w:pgSz w:w="11900" w:h="16838" w:orient="portrait"/>
          <w:cols w:equalWidth="0" w:num="3">
            <w:col w:w="1160" w:space="360"/>
            <w:col w:w="3060" w:space="720"/>
            <w:col w:w="5540"/>
          </w:cols>
          <w:pgMar w:left="720" w:top="769" w:right="339" w:bottom="1440" w:gutter="0" w:footer="0" w:header="0"/>
          <w:type w:val="continuous"/>
        </w:sectPr>
      </w:pPr>
    </w:p>
    <w:p>
      <w:pPr>
        <w:spacing w:after="0" w:line="200" w:lineRule="exact"/>
        <w:rPr>
          <w:sz w:val="20"/>
          <w:szCs w:val="20"/>
          <w:color w:val="auto"/>
        </w:rPr>
      </w:pPr>
    </w:p>
    <w:p>
      <w:pPr>
        <w:spacing w:after="0" w:line="328" w:lineRule="exact"/>
        <w:rPr>
          <w:sz w:val="20"/>
          <w:szCs w:val="20"/>
          <w:color w:val="auto"/>
        </w:rPr>
      </w:pPr>
    </w:p>
    <w:p>
      <w:pPr>
        <w:jc w:val="center"/>
        <w:ind w:right="460"/>
        <w:spacing w:after="0"/>
        <w:rPr>
          <w:sz w:val="20"/>
          <w:szCs w:val="20"/>
          <w:color w:val="auto"/>
        </w:rPr>
      </w:pPr>
      <w:r>
        <w:rPr>
          <w:rFonts w:ascii="Arial" w:cs="Arial" w:eastAsia="Arial" w:hAnsi="Arial"/>
          <w:sz w:val="25"/>
          <w:szCs w:val="25"/>
          <w:b w:val="1"/>
          <w:bCs w:val="1"/>
          <w:color w:val="auto"/>
        </w:rPr>
        <w:t>Manhattan Associates Reports Third Quarter Results</w:t>
      </w:r>
    </w:p>
    <w:p>
      <w:pPr>
        <w:spacing w:after="0" w:line="118" w:lineRule="exact"/>
        <w:rPr>
          <w:sz w:val="20"/>
          <w:szCs w:val="20"/>
          <w:color w:val="auto"/>
        </w:rPr>
      </w:pPr>
    </w:p>
    <w:p>
      <w:pPr>
        <w:ind w:left="3080"/>
        <w:spacing w:after="0"/>
        <w:rPr>
          <w:sz w:val="20"/>
          <w:szCs w:val="20"/>
          <w:color w:val="auto"/>
        </w:rPr>
      </w:pPr>
      <w:r>
        <w:rPr>
          <w:rFonts w:ascii="Arial" w:cs="Arial" w:eastAsia="Arial" w:hAnsi="Arial"/>
          <w:sz w:val="20"/>
          <w:szCs w:val="20"/>
          <w:b w:val="1"/>
          <w:bCs w:val="1"/>
          <w:color w:val="auto"/>
        </w:rPr>
        <w:t>RPO Bookings Increased 23% over Prior Year</w:t>
      </w:r>
    </w:p>
    <w:p>
      <w:pPr>
        <w:spacing w:after="0" w:line="310" w:lineRule="exact"/>
        <w:rPr>
          <w:sz w:val="20"/>
          <w:szCs w:val="20"/>
          <w:color w:val="auto"/>
        </w:rPr>
      </w:pPr>
    </w:p>
    <w:p>
      <w:pPr>
        <w:ind w:left="360" w:right="800"/>
        <w:spacing w:after="0" w:line="253" w:lineRule="auto"/>
        <w:rPr>
          <w:sz w:val="20"/>
          <w:szCs w:val="20"/>
          <w:color w:val="auto"/>
        </w:rPr>
      </w:pPr>
      <w:r>
        <w:rPr>
          <w:rFonts w:ascii="Arial" w:cs="Arial" w:eastAsia="Arial" w:hAnsi="Arial"/>
          <w:sz w:val="19"/>
          <w:szCs w:val="19"/>
          <w:b w:val="1"/>
          <w:bCs w:val="1"/>
          <w:color w:val="auto"/>
        </w:rPr>
        <w:t xml:space="preserve">ATLANTA – October 21, 2025 – </w:t>
      </w:r>
      <w:r>
        <w:rPr>
          <w:rFonts w:ascii="Arial" w:cs="Arial" w:eastAsia="Arial" w:hAnsi="Arial"/>
          <w:sz w:val="19"/>
          <w:szCs w:val="19"/>
          <w:color w:val="auto"/>
        </w:rPr>
        <w:t>Leading Supply Chain and Omnichannel Commerce Solutions provider</w:t>
      </w:r>
      <w:r>
        <w:rPr>
          <w:rFonts w:ascii="Arial" w:cs="Arial" w:eastAsia="Arial" w:hAnsi="Arial"/>
          <w:sz w:val="19"/>
          <w:szCs w:val="19"/>
          <w:b w:val="1"/>
          <w:bCs w:val="1"/>
          <w:color w:val="auto"/>
        </w:rPr>
        <w:t xml:space="preserve"> </w:t>
      </w:r>
      <w:r>
        <w:rPr>
          <w:rFonts w:ascii="Arial" w:cs="Arial" w:eastAsia="Arial" w:hAnsi="Arial"/>
          <w:sz w:val="19"/>
          <w:szCs w:val="19"/>
          <w:color w:val="auto"/>
        </w:rPr>
        <w:t>Manhattan Associates Inc. (NASDAQ: MANH) today reported revenue of $ 275.8 million for the third quarter ended September 30, 2025. GAAP diluted earnings per share for Q3 2025 was $0.96 compared to $1.03 in Q3 2024. Non-GAAP adjusted diluted earnings per share for Q3 2025 was $1.36 compared to $1.35 in Q3 2024.</w:t>
      </w:r>
    </w:p>
    <w:p>
      <w:pPr>
        <w:spacing w:after="0" w:line="161" w:lineRule="exact"/>
        <w:rPr>
          <w:sz w:val="20"/>
          <w:szCs w:val="20"/>
          <w:color w:val="auto"/>
        </w:rPr>
      </w:pPr>
    </w:p>
    <w:p>
      <w:pPr>
        <w:ind w:left="360" w:right="940" w:hanging="14"/>
        <w:spacing w:after="0" w:line="241" w:lineRule="auto"/>
        <w:rPr>
          <w:sz w:val="20"/>
          <w:szCs w:val="20"/>
          <w:color w:val="auto"/>
        </w:rPr>
      </w:pPr>
      <w:r>
        <w:rPr>
          <w:rFonts w:ascii="Arial" w:cs="Arial" w:eastAsia="Arial" w:hAnsi="Arial"/>
          <w:sz w:val="20"/>
          <w:szCs w:val="20"/>
          <w:color w:val="auto"/>
        </w:rPr>
        <w:t>“Manhattan delivered record third quarter and year-to-date results. Solid demand drove cloud revenue growth of 21% and better than expected services revenue generation in the quarter,” said Manhattan Associates president and CEO Eric Clark.</w:t>
      </w:r>
    </w:p>
    <w:p>
      <w:pPr>
        <w:spacing w:after="0" w:line="171" w:lineRule="exact"/>
        <w:rPr>
          <w:sz w:val="20"/>
          <w:szCs w:val="20"/>
          <w:color w:val="auto"/>
        </w:rPr>
      </w:pPr>
    </w:p>
    <w:p>
      <w:pPr>
        <w:ind w:left="360" w:right="1100" w:hanging="14"/>
        <w:spacing w:after="0" w:line="241" w:lineRule="auto"/>
        <w:rPr>
          <w:sz w:val="20"/>
          <w:szCs w:val="20"/>
          <w:color w:val="auto"/>
        </w:rPr>
      </w:pPr>
      <w:r>
        <w:rPr>
          <w:rFonts w:ascii="Arial" w:cs="Arial" w:eastAsia="Arial" w:hAnsi="Arial"/>
          <w:sz w:val="20"/>
          <w:szCs w:val="20"/>
          <w:color w:val="auto"/>
        </w:rPr>
        <w:t>“We are optimistic about our expanding market opportunity. To capitalize on this, we are making targeted investments in our people, enhancing our industry-leading solutions, and developing processes designed to increase the adoption of Manhattan Active solutions across our customer base,” Mr. Clark concluded.</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THIRD QUARTER 2025 FINANCIAL SUMMARY:</w:t>
      </w:r>
    </w:p>
    <w:p>
      <w:pPr>
        <w:spacing w:after="0" w:line="204" w:lineRule="exact"/>
        <w:rPr>
          <w:sz w:val="20"/>
          <w:szCs w:val="20"/>
          <w:color w:val="auto"/>
        </w:rPr>
      </w:pPr>
    </w:p>
    <w:p>
      <w:pPr>
        <w:ind w:left="1080" w:hanging="349"/>
        <w:spacing w:after="0"/>
        <w:tabs>
          <w:tab w:leader="none" w:pos="1080" w:val="left"/>
        </w:tabs>
        <w:numPr>
          <w:ilvl w:val="0"/>
          <w:numId w:val="4"/>
        </w:numPr>
        <w:rPr>
          <w:rFonts w:ascii="Times New Roman" w:cs="Times New Roman" w:eastAsia="Times New Roman" w:hAnsi="Times New Roman"/>
          <w:sz w:val="20"/>
          <w:szCs w:val="20"/>
          <w:color w:val="auto"/>
        </w:rPr>
      </w:pPr>
      <w:r>
        <w:rPr>
          <w:rFonts w:ascii="Arial" w:cs="Arial" w:eastAsia="Arial" w:hAnsi="Arial"/>
          <w:sz w:val="20"/>
          <w:szCs w:val="20"/>
          <w:color w:val="auto"/>
        </w:rPr>
        <w:t>Consolidated total revenue was $275.8 million for Q3 2025, compared to $266.7 million for Q3 2024.</w:t>
      </w:r>
    </w:p>
    <w:p>
      <w:pPr>
        <w:spacing w:after="0" w:line="107" w:lineRule="exact"/>
        <w:rPr>
          <w:sz w:val="20"/>
          <w:szCs w:val="20"/>
          <w:color w:val="auto"/>
        </w:rPr>
      </w:pPr>
    </w:p>
    <w:p>
      <w:pPr>
        <w:ind w:left="1640" w:right="1040" w:hanging="347"/>
        <w:spacing w:after="0" w:line="256" w:lineRule="auto"/>
        <w:tabs>
          <w:tab w:leader="none" w:pos="1640" w:val="left"/>
        </w:tabs>
        <w:numPr>
          <w:ilvl w:val="0"/>
          <w:numId w:val="5"/>
        </w:numPr>
        <w:rPr>
          <w:rFonts w:ascii="Times New Roman" w:cs="Times New Roman" w:eastAsia="Times New Roman" w:hAnsi="Times New Roman"/>
          <w:sz w:val="20"/>
          <w:szCs w:val="20"/>
          <w:color w:val="auto"/>
        </w:rPr>
      </w:pPr>
      <w:r>
        <w:rPr>
          <w:rFonts w:ascii="Arial" w:cs="Arial" w:eastAsia="Arial" w:hAnsi="Arial"/>
          <w:sz w:val="20"/>
          <w:szCs w:val="20"/>
          <w:color w:val="auto"/>
        </w:rPr>
        <w:t>Cloud subscription revenue was $104.9 million for Q3 2025, compared to $86.5 million for Q3 2024.</w:t>
      </w:r>
    </w:p>
    <w:p>
      <w:pPr>
        <w:spacing w:after="0" w:line="48" w:lineRule="exact"/>
        <w:rPr>
          <w:rFonts w:ascii="Times New Roman" w:cs="Times New Roman" w:eastAsia="Times New Roman" w:hAnsi="Times New Roman"/>
          <w:sz w:val="20"/>
          <w:szCs w:val="20"/>
          <w:color w:val="auto"/>
        </w:rPr>
      </w:pPr>
    </w:p>
    <w:p>
      <w:pPr>
        <w:ind w:left="1640" w:hanging="347"/>
        <w:spacing w:after="0"/>
        <w:tabs>
          <w:tab w:leader="none" w:pos="1640" w:val="left"/>
        </w:tabs>
        <w:numPr>
          <w:ilvl w:val="0"/>
          <w:numId w:val="5"/>
        </w:numPr>
        <w:rPr>
          <w:rFonts w:ascii="Times New Roman" w:cs="Times New Roman" w:eastAsia="Times New Roman" w:hAnsi="Times New Roman"/>
          <w:sz w:val="20"/>
          <w:szCs w:val="20"/>
          <w:color w:val="auto"/>
        </w:rPr>
      </w:pPr>
      <w:r>
        <w:rPr>
          <w:rFonts w:ascii="Arial" w:cs="Arial" w:eastAsia="Arial" w:hAnsi="Arial"/>
          <w:sz w:val="20"/>
          <w:szCs w:val="20"/>
          <w:color w:val="auto"/>
        </w:rPr>
        <w:t>License revenue was $1.4 million for Q3 2025, compared to $3.8 million for Q3 2024.</w:t>
      </w:r>
    </w:p>
    <w:p>
      <w:pPr>
        <w:spacing w:after="0" w:line="106" w:lineRule="exact"/>
        <w:rPr>
          <w:rFonts w:ascii="Times New Roman" w:cs="Times New Roman" w:eastAsia="Times New Roman" w:hAnsi="Times New Roman"/>
          <w:sz w:val="20"/>
          <w:szCs w:val="20"/>
          <w:color w:val="auto"/>
        </w:rPr>
      </w:pPr>
    </w:p>
    <w:p>
      <w:pPr>
        <w:ind w:left="1640" w:hanging="347"/>
        <w:spacing w:after="0"/>
        <w:tabs>
          <w:tab w:leader="none" w:pos="1640" w:val="left"/>
        </w:tabs>
        <w:numPr>
          <w:ilvl w:val="0"/>
          <w:numId w:val="5"/>
        </w:numPr>
        <w:rPr>
          <w:rFonts w:ascii="Times New Roman" w:cs="Times New Roman" w:eastAsia="Times New Roman" w:hAnsi="Times New Roman"/>
          <w:sz w:val="20"/>
          <w:szCs w:val="20"/>
          <w:color w:val="auto"/>
        </w:rPr>
      </w:pPr>
      <w:r>
        <w:rPr>
          <w:rFonts w:ascii="Arial" w:cs="Arial" w:eastAsia="Arial" w:hAnsi="Arial"/>
          <w:sz w:val="20"/>
          <w:szCs w:val="20"/>
          <w:color w:val="auto"/>
        </w:rPr>
        <w:t>Services revenue was $133.0 million for Q3 2025, compared to $137.0 million for Q3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1191895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231140</wp:posOffset>
            </wp:positionH>
            <wp:positionV relativeFrom="paragraph">
              <wp:posOffset>81280</wp:posOffset>
            </wp:positionV>
            <wp:extent cx="6172200" cy="643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6172200" cy="643255"/>
                    </a:xfrm>
                    <a:prstGeom prst="rect">
                      <a:avLst/>
                    </a:prstGeom>
                    <a:noFill/>
                  </pic:spPr>
                </pic:pic>
              </a:graphicData>
            </a:graphic>
          </wp:anchor>
        </w:drawing>
      </w:r>
    </w:p>
    <w:p>
      <w:pPr>
        <w:sectPr>
          <w:pgSz w:w="11900" w:h="16838" w:orient="portrait"/>
          <w:cols w:equalWidth="0" w:num="1">
            <w:col w:w="10840"/>
          </w:cols>
          <w:pgMar w:left="720" w:top="769" w:right="339" w:bottom="1440" w:gutter="0" w:footer="0" w:header="0"/>
          <w:type w:val="continuous"/>
        </w:sectPr>
      </w:pPr>
    </w:p>
    <w:bookmarkStart w:id="5" w:name="page6"/>
    <w:bookmarkEnd w:id="5"/>
    <w:p>
      <w:pPr>
        <w:ind w:left="1480" w:hanging="349"/>
        <w:spacing w:after="0"/>
        <w:tabs>
          <w:tab w:leader="none" w:pos="1480" w:val="left"/>
        </w:tabs>
        <w:numPr>
          <w:ilvl w:val="0"/>
          <w:numId w:val="6"/>
        </w:numPr>
        <w:rPr>
          <w:rFonts w:ascii="Times New Roman" w:cs="Times New Roman" w:eastAsia="Times New Roman" w:hAnsi="Times New Roman"/>
          <w:sz w:val="20"/>
          <w:szCs w:val="20"/>
          <w:color w:val="auto"/>
        </w:rPr>
      </w:pPr>
      <w:r>
        <w:rPr>
          <w:rFonts w:ascii="Arial" w:cs="Arial" w:eastAsia="Arial" w:hAnsi="Arial"/>
          <w:sz w:val="20"/>
          <w:szCs w:val="20"/>
          <w:color w:val="auto"/>
        </w:rPr>
        <w:t>GAAP diluted earnings per share was $0.96 for Q3 2025, compared to $1.03 for Q3 2024.</w:t>
      </w:r>
    </w:p>
    <w:p>
      <w:pPr>
        <w:spacing w:after="0" w:line="105" w:lineRule="exact"/>
        <w:rPr>
          <w:sz w:val="20"/>
          <w:szCs w:val="20"/>
          <w:color w:val="auto"/>
        </w:rPr>
      </w:pPr>
    </w:p>
    <w:p>
      <w:pPr>
        <w:ind w:left="1500" w:right="480" w:firstLine="21"/>
        <w:spacing w:after="0" w:line="271" w:lineRule="auto"/>
        <w:rPr>
          <w:sz w:val="20"/>
          <w:szCs w:val="20"/>
          <w:color w:val="auto"/>
        </w:rPr>
      </w:pPr>
      <w:r>
        <w:rPr>
          <w:rFonts w:ascii="Arial" w:cs="Arial" w:eastAsia="Arial" w:hAnsi="Arial"/>
          <w:sz w:val="20"/>
          <w:szCs w:val="20"/>
          <w:color w:val="auto"/>
        </w:rPr>
        <w:t>Adjusted diluted earnings per share, a non-GAAP measure, was $1.36 for Q3 2025, compared to $1.35 for Q3 2024.</w:t>
      </w:r>
    </w:p>
    <w:p>
      <w:pPr>
        <w:spacing w:after="0" w:line="34" w:lineRule="exact"/>
        <w:rPr>
          <w:sz w:val="20"/>
          <w:szCs w:val="20"/>
          <w:color w:val="auto"/>
        </w:rPr>
      </w:pPr>
    </w:p>
    <w:p>
      <w:pPr>
        <w:ind w:left="1140"/>
        <w:spacing w:after="0"/>
        <w:rPr>
          <w:sz w:val="20"/>
          <w:szCs w:val="20"/>
          <w:color w:val="auto"/>
        </w:rPr>
      </w:pPr>
      <w:r>
        <w:rPr>
          <w:rFonts w:ascii="Arial" w:cs="Arial" w:eastAsia="Arial" w:hAnsi="Arial"/>
          <w:sz w:val="20"/>
          <w:szCs w:val="20"/>
          <w:color w:val="auto"/>
        </w:rPr>
        <w:t>GAAP operating income was $75.8 million for Q3 2025, compared to $75.1 million for Q3 2024.</w:t>
      </w:r>
    </w:p>
    <w:p>
      <w:pPr>
        <w:spacing w:after="0" w:line="107" w:lineRule="exact"/>
        <w:rPr>
          <w:sz w:val="20"/>
          <w:szCs w:val="20"/>
          <w:color w:val="auto"/>
        </w:rPr>
      </w:pPr>
    </w:p>
    <w:p>
      <w:pPr>
        <w:ind w:left="1500" w:right="520" w:firstLine="21"/>
        <w:spacing w:after="0" w:line="271" w:lineRule="auto"/>
        <w:rPr>
          <w:sz w:val="20"/>
          <w:szCs w:val="20"/>
          <w:color w:val="auto"/>
        </w:rPr>
      </w:pPr>
      <w:r>
        <w:rPr>
          <w:rFonts w:ascii="Arial" w:cs="Arial" w:eastAsia="Arial" w:hAnsi="Arial"/>
          <w:sz w:val="20"/>
          <w:szCs w:val="20"/>
          <w:color w:val="auto"/>
        </w:rPr>
        <w:t>Adjusted operating income, a non-GAAP measure, was $103.4 million for Q3 2025, compared to $98.9 million for Q3 2024.</w:t>
      </w:r>
    </w:p>
    <w:p>
      <w:pPr>
        <w:spacing w:after="0" w:line="34" w:lineRule="exact"/>
        <w:rPr>
          <w:sz w:val="20"/>
          <w:szCs w:val="20"/>
          <w:color w:val="auto"/>
        </w:rPr>
      </w:pPr>
    </w:p>
    <w:p>
      <w:pPr>
        <w:ind w:left="1500" w:right="80" w:firstLine="21"/>
        <w:spacing w:after="0" w:line="298" w:lineRule="auto"/>
        <w:rPr>
          <w:sz w:val="20"/>
          <w:szCs w:val="20"/>
          <w:color w:val="auto"/>
        </w:rPr>
      </w:pPr>
      <w:r>
        <w:rPr>
          <w:rFonts w:ascii="Arial" w:cs="Arial" w:eastAsia="Arial" w:hAnsi="Arial"/>
          <w:sz w:val="19"/>
          <w:szCs w:val="19"/>
          <w:color w:val="auto"/>
        </w:rPr>
        <w:t>Cash flow from operations was $93.1 million for Q3 2025, compared to $62.3 million for Q3 2024. Days Sales Outstanding was 73 days at September 30, 2025, compared to 70 days at June 30, 2025.</w:t>
      </w:r>
    </w:p>
    <w:p>
      <w:pPr>
        <w:spacing w:after="0" w:line="10" w:lineRule="exact"/>
        <w:rPr>
          <w:sz w:val="20"/>
          <w:szCs w:val="20"/>
          <w:color w:val="auto"/>
        </w:rPr>
      </w:pPr>
    </w:p>
    <w:p>
      <w:pPr>
        <w:ind w:left="1140"/>
        <w:spacing w:after="0"/>
        <w:rPr>
          <w:sz w:val="20"/>
          <w:szCs w:val="20"/>
          <w:color w:val="auto"/>
        </w:rPr>
      </w:pPr>
      <w:r>
        <w:rPr>
          <w:rFonts w:ascii="Arial" w:cs="Arial" w:eastAsia="Arial" w:hAnsi="Arial"/>
          <w:sz w:val="20"/>
          <w:szCs w:val="20"/>
          <w:color w:val="auto"/>
        </w:rPr>
        <w:t>Cash totaled $263.6 million at September 30, 2025, compared to $230.6 million at June 30, 2025.</w:t>
      </w:r>
    </w:p>
    <w:p>
      <w:pPr>
        <w:spacing w:after="0" w:line="107" w:lineRule="exact"/>
        <w:rPr>
          <w:sz w:val="20"/>
          <w:szCs w:val="20"/>
          <w:color w:val="auto"/>
        </w:rPr>
      </w:pPr>
    </w:p>
    <w:p>
      <w:pPr>
        <w:ind w:left="1500" w:right="20" w:firstLine="21"/>
        <w:spacing w:after="0" w:line="237" w:lineRule="auto"/>
        <w:rPr>
          <w:sz w:val="20"/>
          <w:szCs w:val="20"/>
          <w:color w:val="auto"/>
        </w:rPr>
      </w:pPr>
      <w:r>
        <w:rPr>
          <w:rFonts w:ascii="Arial" w:cs="Arial" w:eastAsia="Arial" w:hAnsi="Arial"/>
          <w:sz w:val="20"/>
          <w:szCs w:val="20"/>
          <w:color w:val="auto"/>
        </w:rPr>
        <w:t>During the three months ended September 30, 2025, the Company repurchased 233,425 shares of Manhattan Associates common stock under the share repurchase program authorized by our Board of Directors for a total investment of $49.9 million. In October 2025, our Board of Directors replenished the Company’s remaining share repurchase authority to an aggregate of $100.0 million of our common stock.</w:t>
      </w:r>
    </w:p>
    <w:p>
      <w:pPr>
        <w:spacing w:after="0" w:line="3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NINE MONTH 2025 FINANCIAL SUMMARY:</w:t>
      </w:r>
    </w:p>
    <w:p>
      <w:pPr>
        <w:spacing w:after="0" w:line="204" w:lineRule="exact"/>
        <w:rPr>
          <w:sz w:val="20"/>
          <w:szCs w:val="20"/>
          <w:color w:val="auto"/>
        </w:rPr>
      </w:pPr>
    </w:p>
    <w:p>
      <w:pPr>
        <w:ind w:left="1480" w:right="660" w:hanging="438"/>
        <w:spacing w:after="0" w:line="256" w:lineRule="auto"/>
        <w:tabs>
          <w:tab w:leader="none" w:pos="1480" w:val="left"/>
        </w:tabs>
        <w:numPr>
          <w:ilvl w:val="0"/>
          <w:numId w:val="8"/>
        </w:numPr>
        <w:rPr>
          <w:rFonts w:ascii="Times New Roman" w:cs="Times New Roman" w:eastAsia="Times New Roman" w:hAnsi="Times New Roman"/>
          <w:sz w:val="20"/>
          <w:szCs w:val="20"/>
          <w:color w:val="auto"/>
        </w:rPr>
      </w:pPr>
      <w:r>
        <w:rPr>
          <w:rFonts w:ascii="Arial" w:cs="Arial" w:eastAsia="Arial" w:hAnsi="Arial"/>
          <w:sz w:val="20"/>
          <w:szCs w:val="20"/>
          <w:color w:val="auto"/>
        </w:rPr>
        <w:t>Consolidated total revenue for the nine months ended September 30, 2025, was $811.0 million, compared to $786.6 million for the nine months ended September 30, 2024.</w:t>
      </w:r>
    </w:p>
    <w:p>
      <w:pPr>
        <w:spacing w:after="0" w:line="48" w:lineRule="exact"/>
        <w:rPr>
          <w:sz w:val="20"/>
          <w:szCs w:val="20"/>
          <w:color w:val="auto"/>
        </w:rPr>
      </w:pPr>
    </w:p>
    <w:p>
      <w:pPr>
        <w:ind w:left="2040" w:right="100" w:hanging="347"/>
        <w:spacing w:after="0" w:line="256" w:lineRule="auto"/>
        <w:tabs>
          <w:tab w:leader="none" w:pos="2040" w:val="left"/>
        </w:tabs>
        <w:numPr>
          <w:ilvl w:val="0"/>
          <w:numId w:val="9"/>
        </w:numPr>
        <w:rPr>
          <w:rFonts w:ascii="Times New Roman" w:cs="Times New Roman" w:eastAsia="Times New Roman" w:hAnsi="Times New Roman"/>
          <w:sz w:val="20"/>
          <w:szCs w:val="20"/>
          <w:color w:val="auto"/>
        </w:rPr>
      </w:pPr>
      <w:r>
        <w:rPr>
          <w:rFonts w:ascii="Arial" w:cs="Arial" w:eastAsia="Arial" w:hAnsi="Arial"/>
          <w:sz w:val="20"/>
          <w:szCs w:val="20"/>
          <w:color w:val="auto"/>
        </w:rPr>
        <w:t>Cloud subscription revenue was $299.6 million for the nine months ended September 30, 2025, compared to $246.9 million for the nine months ended September 30, 2024.</w:t>
      </w:r>
    </w:p>
    <w:p>
      <w:pPr>
        <w:spacing w:after="0" w:line="48" w:lineRule="exact"/>
        <w:rPr>
          <w:rFonts w:ascii="Times New Roman" w:cs="Times New Roman" w:eastAsia="Times New Roman" w:hAnsi="Times New Roman"/>
          <w:sz w:val="20"/>
          <w:szCs w:val="20"/>
          <w:color w:val="auto"/>
        </w:rPr>
      </w:pPr>
    </w:p>
    <w:p>
      <w:pPr>
        <w:ind w:left="2040" w:hanging="347"/>
        <w:spacing w:after="0" w:line="256" w:lineRule="auto"/>
        <w:tabs>
          <w:tab w:leader="none" w:pos="2040" w:val="left"/>
        </w:tabs>
        <w:numPr>
          <w:ilvl w:val="0"/>
          <w:numId w:val="9"/>
        </w:numPr>
        <w:rPr>
          <w:rFonts w:ascii="Times New Roman" w:cs="Times New Roman" w:eastAsia="Times New Roman" w:hAnsi="Times New Roman"/>
          <w:sz w:val="20"/>
          <w:szCs w:val="20"/>
          <w:color w:val="auto"/>
        </w:rPr>
      </w:pPr>
      <w:r>
        <w:rPr>
          <w:rFonts w:ascii="Arial" w:cs="Arial" w:eastAsia="Arial" w:hAnsi="Arial"/>
          <w:sz w:val="20"/>
          <w:szCs w:val="20"/>
          <w:color w:val="auto"/>
        </w:rPr>
        <w:t>License revenue was $12.2 million for the nine months ended September 30, 2025, compared to $9.6 million for the nine months ended September 30, 2024.</w:t>
      </w:r>
    </w:p>
    <w:p>
      <w:pPr>
        <w:spacing w:after="0" w:line="48" w:lineRule="exact"/>
        <w:rPr>
          <w:rFonts w:ascii="Times New Roman" w:cs="Times New Roman" w:eastAsia="Times New Roman" w:hAnsi="Times New Roman"/>
          <w:sz w:val="20"/>
          <w:szCs w:val="20"/>
          <w:color w:val="auto"/>
        </w:rPr>
      </w:pPr>
    </w:p>
    <w:p>
      <w:pPr>
        <w:ind w:left="2040" w:right="40" w:hanging="347"/>
        <w:spacing w:after="0" w:line="256" w:lineRule="auto"/>
        <w:tabs>
          <w:tab w:leader="none" w:pos="2040" w:val="left"/>
        </w:tabs>
        <w:numPr>
          <w:ilvl w:val="0"/>
          <w:numId w:val="9"/>
        </w:numPr>
        <w:rPr>
          <w:rFonts w:ascii="Times New Roman" w:cs="Times New Roman" w:eastAsia="Times New Roman" w:hAnsi="Times New Roman"/>
          <w:sz w:val="20"/>
          <w:szCs w:val="20"/>
          <w:color w:val="auto"/>
        </w:rPr>
      </w:pPr>
      <w:r>
        <w:rPr>
          <w:rFonts w:ascii="Arial" w:cs="Arial" w:eastAsia="Arial" w:hAnsi="Arial"/>
          <w:sz w:val="20"/>
          <w:szCs w:val="20"/>
          <w:color w:val="auto"/>
        </w:rPr>
        <w:t>Services revenue was $383.0 million for the nine months ended September 30, 2025, compared to $406.0 million for the nine months ended September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1155065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485140</wp:posOffset>
            </wp:positionH>
            <wp:positionV relativeFrom="paragraph">
              <wp:posOffset>44450</wp:posOffset>
            </wp:positionV>
            <wp:extent cx="6172200" cy="643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6172200" cy="643255"/>
                    </a:xfrm>
                    <a:prstGeom prst="rect">
                      <a:avLst/>
                    </a:prstGeom>
                    <a:noFill/>
                  </pic:spPr>
                </pic:pic>
              </a:graphicData>
            </a:graphic>
          </wp:anchor>
        </w:drawing>
      </w:r>
    </w:p>
    <w:p>
      <w:pPr>
        <w:sectPr>
          <w:pgSz w:w="11900" w:h="16838" w:orient="portrait"/>
          <w:cols w:equalWidth="0" w:num="1">
            <w:col w:w="10480"/>
          </w:cols>
          <w:pgMar w:left="320" w:top="1211" w:right="1099" w:bottom="1440" w:gutter="0" w:footer="0" w:header="0"/>
        </w:sectPr>
      </w:pPr>
    </w:p>
    <w:bookmarkStart w:id="6" w:name="page7"/>
    <w:bookmarkEnd w:id="6"/>
    <w:p>
      <w:pPr>
        <w:ind w:left="438" w:right="820" w:hanging="438"/>
        <w:spacing w:after="0" w:line="256" w:lineRule="auto"/>
        <w:tabs>
          <w:tab w:leader="none" w:pos="438" w:val="left"/>
        </w:tabs>
        <w:numPr>
          <w:ilvl w:val="0"/>
          <w:numId w:val="10"/>
        </w:numPr>
        <w:rPr>
          <w:rFonts w:ascii="Times New Roman" w:cs="Times New Roman" w:eastAsia="Times New Roman" w:hAnsi="Times New Roman"/>
          <w:sz w:val="20"/>
          <w:szCs w:val="20"/>
          <w:color w:val="auto"/>
        </w:rPr>
      </w:pPr>
      <w:r>
        <w:rPr>
          <w:rFonts w:ascii="Arial" w:cs="Arial" w:eastAsia="Arial" w:hAnsi="Arial"/>
          <w:sz w:val="20"/>
          <w:szCs w:val="20"/>
          <w:color w:val="auto"/>
        </w:rPr>
        <w:t>GAAP diluted earnings per share for the nine months ended September 30, 2025, was $2.75, compared to $2.74 for the nine months ended September 30, 2024.</w:t>
      </w:r>
    </w:p>
    <w:p>
      <w:pPr>
        <w:spacing w:after="0" w:line="48" w:lineRule="exact"/>
        <w:rPr>
          <w:rFonts w:ascii="Times New Roman" w:cs="Times New Roman" w:eastAsia="Times New Roman" w:hAnsi="Times New Roman"/>
          <w:sz w:val="20"/>
          <w:szCs w:val="20"/>
          <w:color w:val="auto"/>
        </w:rPr>
      </w:pPr>
    </w:p>
    <w:p>
      <w:pPr>
        <w:ind w:left="438" w:right="460" w:hanging="438"/>
        <w:spacing w:after="0" w:line="256" w:lineRule="auto"/>
        <w:tabs>
          <w:tab w:leader="none" w:pos="438" w:val="left"/>
        </w:tabs>
        <w:numPr>
          <w:ilvl w:val="0"/>
          <w:numId w:val="10"/>
        </w:numPr>
        <w:rPr>
          <w:rFonts w:ascii="Times New Roman" w:cs="Times New Roman" w:eastAsia="Times New Roman" w:hAnsi="Times New Roman"/>
          <w:sz w:val="20"/>
          <w:szCs w:val="20"/>
          <w:color w:val="auto"/>
        </w:rPr>
      </w:pPr>
      <w:r>
        <w:rPr>
          <w:rFonts w:ascii="Arial" w:cs="Arial" w:eastAsia="Arial" w:hAnsi="Arial"/>
          <w:sz w:val="20"/>
          <w:szCs w:val="20"/>
          <w:color w:val="auto"/>
        </w:rPr>
        <w:t>Adjusted diluted earnings per share, a non-GAAP measure, was $3.85 for the nine months ended September 30, 2025, compared to $3.55 for the nine months ended September 30, 2024.</w:t>
      </w:r>
    </w:p>
    <w:p>
      <w:pPr>
        <w:spacing w:after="0" w:line="48" w:lineRule="exact"/>
        <w:rPr>
          <w:rFonts w:ascii="Times New Roman" w:cs="Times New Roman" w:eastAsia="Times New Roman" w:hAnsi="Times New Roman"/>
          <w:sz w:val="20"/>
          <w:szCs w:val="20"/>
          <w:color w:val="auto"/>
        </w:rPr>
      </w:pPr>
    </w:p>
    <w:p>
      <w:pPr>
        <w:ind w:left="438" w:hanging="438"/>
        <w:spacing w:after="0" w:line="257" w:lineRule="auto"/>
        <w:tabs>
          <w:tab w:leader="none" w:pos="438" w:val="left"/>
        </w:tabs>
        <w:numPr>
          <w:ilvl w:val="0"/>
          <w:numId w:val="10"/>
        </w:numPr>
        <w:rPr>
          <w:rFonts w:ascii="Times New Roman" w:cs="Times New Roman" w:eastAsia="Times New Roman" w:hAnsi="Times New Roman"/>
          <w:sz w:val="18"/>
          <w:szCs w:val="18"/>
          <w:color w:val="auto"/>
        </w:rPr>
      </w:pPr>
      <w:r>
        <w:rPr>
          <w:rFonts w:ascii="Arial" w:cs="Arial" w:eastAsia="Arial" w:hAnsi="Arial"/>
          <w:sz w:val="20"/>
          <w:szCs w:val="20"/>
          <w:color w:val="auto"/>
        </w:rPr>
        <w:t>GAAP operating income was $212.8 million for the nine months ended September 30, 2025, compared to $200.9 million for the nine months ended September 30, 2024.</w:t>
      </w:r>
    </w:p>
    <w:p>
      <w:pPr>
        <w:spacing w:after="0" w:line="47" w:lineRule="exact"/>
        <w:rPr>
          <w:rFonts w:ascii="Times New Roman" w:cs="Times New Roman" w:eastAsia="Times New Roman" w:hAnsi="Times New Roman"/>
          <w:sz w:val="18"/>
          <w:szCs w:val="18"/>
          <w:color w:val="auto"/>
        </w:rPr>
      </w:pPr>
    </w:p>
    <w:p>
      <w:pPr>
        <w:jc w:val="both"/>
        <w:ind w:left="438" w:right="460" w:hanging="438"/>
        <w:spacing w:after="0" w:line="284" w:lineRule="auto"/>
        <w:tabs>
          <w:tab w:leader="none" w:pos="438" w:val="left"/>
        </w:tabs>
        <w:numPr>
          <w:ilvl w:val="0"/>
          <w:numId w:val="10"/>
        </w:numPr>
        <w:rPr>
          <w:rFonts w:ascii="Times New Roman" w:cs="Times New Roman" w:eastAsia="Times New Roman" w:hAnsi="Times New Roman"/>
          <w:sz w:val="17"/>
          <w:szCs w:val="17"/>
          <w:color w:val="auto"/>
        </w:rPr>
      </w:pPr>
      <w:r>
        <w:rPr>
          <w:rFonts w:ascii="Arial" w:cs="Arial" w:eastAsia="Arial" w:hAnsi="Arial"/>
          <w:sz w:val="19"/>
          <w:szCs w:val="19"/>
          <w:color w:val="auto"/>
        </w:rPr>
        <w:t>Adjusted operating income, a non-GAAP measure, was $295.7 million for the nine months ended September 30, 2025, compared to $271.5 million for the nine months ended September 30, 2024.</w:t>
      </w:r>
    </w:p>
    <w:p>
      <w:pPr>
        <w:spacing w:after="0" w:line="22" w:lineRule="exact"/>
        <w:rPr>
          <w:rFonts w:ascii="Times New Roman" w:cs="Times New Roman" w:eastAsia="Times New Roman" w:hAnsi="Times New Roman"/>
          <w:sz w:val="17"/>
          <w:szCs w:val="17"/>
          <w:color w:val="auto"/>
        </w:rPr>
      </w:pPr>
    </w:p>
    <w:p>
      <w:pPr>
        <w:ind w:left="438" w:right="760" w:hanging="438"/>
        <w:spacing w:after="0" w:line="257" w:lineRule="auto"/>
        <w:tabs>
          <w:tab w:leader="none" w:pos="438" w:val="left"/>
        </w:tabs>
        <w:numPr>
          <w:ilvl w:val="0"/>
          <w:numId w:val="10"/>
        </w:numPr>
        <w:rPr>
          <w:rFonts w:ascii="Times New Roman" w:cs="Times New Roman" w:eastAsia="Times New Roman" w:hAnsi="Times New Roman"/>
          <w:sz w:val="18"/>
          <w:szCs w:val="18"/>
          <w:color w:val="auto"/>
        </w:rPr>
      </w:pPr>
      <w:r>
        <w:rPr>
          <w:rFonts w:ascii="Arial" w:cs="Arial" w:eastAsia="Arial" w:hAnsi="Arial"/>
          <w:sz w:val="20"/>
          <w:szCs w:val="20"/>
          <w:color w:val="auto"/>
        </w:rPr>
        <w:t>Cash flow from operations was $242.4 million for the nine months ended September 30, 2025, compared to $190.3 million for the nine months ended September 30, 2024.</w:t>
      </w:r>
    </w:p>
    <w:p>
      <w:pPr>
        <w:spacing w:after="0" w:line="47" w:lineRule="exact"/>
        <w:rPr>
          <w:rFonts w:ascii="Times New Roman" w:cs="Times New Roman" w:eastAsia="Times New Roman" w:hAnsi="Times New Roman"/>
          <w:sz w:val="18"/>
          <w:szCs w:val="18"/>
          <w:color w:val="auto"/>
        </w:rPr>
      </w:pPr>
    </w:p>
    <w:p>
      <w:pPr>
        <w:ind w:left="438" w:right="20" w:hanging="438"/>
        <w:spacing w:after="0" w:line="234" w:lineRule="auto"/>
        <w:tabs>
          <w:tab w:leader="none" w:pos="438" w:val="left"/>
        </w:tabs>
        <w:numPr>
          <w:ilvl w:val="0"/>
          <w:numId w:val="10"/>
        </w:numPr>
        <w:rPr>
          <w:rFonts w:ascii="Times New Roman" w:cs="Times New Roman" w:eastAsia="Times New Roman" w:hAnsi="Times New Roman"/>
          <w:sz w:val="18"/>
          <w:szCs w:val="18"/>
          <w:color w:val="auto"/>
        </w:rPr>
      </w:pPr>
      <w:r>
        <w:rPr>
          <w:rFonts w:ascii="Arial" w:cs="Arial" w:eastAsia="Arial" w:hAnsi="Arial"/>
          <w:sz w:val="20"/>
          <w:szCs w:val="20"/>
          <w:color w:val="auto"/>
        </w:rPr>
        <w:t>During the nine months ended September 30, 2025, the Company repurchased 1,035,094 shares of Manhattan Associates common stock under the share repurchase program authorized by our Board of Directors, for a total investment of $199.5 million. In October 2025, our Board of Directors replenished the Company’s remaining share repurchase authority to an aggregate of $100.0 million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-668655</wp:posOffset>
            </wp:positionH>
            <wp:positionV relativeFrom="paragraph">
              <wp:posOffset>1303655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-175895</wp:posOffset>
            </wp:positionH>
            <wp:positionV relativeFrom="paragraph">
              <wp:posOffset>193040</wp:posOffset>
            </wp:positionV>
            <wp:extent cx="6172200" cy="643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extLst>
                    </a:blip>
                    <a:srcRect/>
                    <a:stretch>
                      <a:fillRect/>
                    </a:stretch>
                  </pic:blipFill>
                  <pic:spPr bwMode="auto">
                    <a:xfrm>
                      <a:off x="0" y="0"/>
                      <a:ext cx="6172200" cy="643255"/>
                    </a:xfrm>
                    <a:prstGeom prst="rect">
                      <a:avLst/>
                    </a:prstGeom>
                    <a:noFill/>
                  </pic:spPr>
                </pic:pic>
              </a:graphicData>
            </a:graphic>
          </wp:anchor>
        </w:drawing>
      </w:r>
    </w:p>
    <w:p>
      <w:pPr>
        <w:sectPr>
          <w:pgSz w:w="11900" w:h="16838" w:orient="portrait"/>
          <w:cols w:equalWidth="0" w:num="1">
            <w:col w:w="9418"/>
          </w:cols>
          <w:pgMar w:left="1362" w:top="1211" w:right="1119" w:bottom="1440" w:gutter="0" w:footer="0" w:header="0"/>
        </w:sectPr>
      </w:pPr>
    </w:p>
    <w:bookmarkStart w:id="7" w:name="page8"/>
    <w:bookmarkEnd w:id="7"/>
    <w:p>
      <w:pPr>
        <w:spacing w:after="0"/>
        <w:rPr>
          <w:sz w:val="20"/>
          <w:szCs w:val="20"/>
          <w:color w:val="auto"/>
        </w:rPr>
      </w:pPr>
      <w:r>
        <w:rPr>
          <w:rFonts w:ascii="Arial" w:cs="Arial" w:eastAsia="Arial" w:hAnsi="Arial"/>
          <w:sz w:val="20"/>
          <w:szCs w:val="20"/>
          <w:b w:val="1"/>
          <w:bCs w:val="1"/>
          <w:color w:val="auto"/>
        </w:rPr>
        <w:t>2025 GUIDANCE</w:t>
      </w:r>
    </w:p>
    <w:p>
      <w:pPr>
        <w:spacing w:after="0" w:line="96" w:lineRule="exact"/>
        <w:rPr>
          <w:sz w:val="20"/>
          <w:szCs w:val="20"/>
          <w:color w:val="auto"/>
        </w:rPr>
      </w:pPr>
    </w:p>
    <w:p>
      <w:pPr>
        <w:ind w:left="760" w:right="1160"/>
        <w:spacing w:after="0" w:line="257" w:lineRule="auto"/>
        <w:rPr>
          <w:sz w:val="20"/>
          <w:szCs w:val="20"/>
          <w:color w:val="auto"/>
        </w:rPr>
      </w:pPr>
      <w:r>
        <w:rPr>
          <w:rFonts w:ascii="Arial" w:cs="Arial" w:eastAsia="Arial" w:hAnsi="Arial"/>
          <w:sz w:val="20"/>
          <w:szCs w:val="20"/>
          <w:color w:val="auto"/>
        </w:rPr>
        <w:t>Manhattan Associates provides the following revenue, operating margin, and diluted earnings per share guidance for the full year 2025:</w:t>
      </w:r>
    </w:p>
    <w:p>
      <w:pPr>
        <w:spacing w:after="0" w:line="68" w:lineRule="exact"/>
        <w:rPr>
          <w:sz w:val="20"/>
          <w:szCs w:val="20"/>
          <w:color w:val="auto"/>
        </w:rPr>
      </w:pPr>
    </w:p>
    <w:p>
      <w:pPr>
        <w:ind w:left="7120"/>
        <w:spacing w:after="0"/>
        <w:rPr>
          <w:sz w:val="20"/>
          <w:szCs w:val="20"/>
          <w:color w:val="auto"/>
        </w:rPr>
      </w:pPr>
      <w:r>
        <w:rPr>
          <w:rFonts w:ascii="Arial" w:cs="Arial" w:eastAsia="Arial" w:hAnsi="Arial"/>
          <w:sz w:val="16"/>
          <w:szCs w:val="16"/>
          <w:b w:val="1"/>
          <w:bCs w:val="1"/>
          <w:color w:val="auto"/>
        </w:rPr>
        <w:t>Guidance Range - 2025 Full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45020" cy="33947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extLst>
                    </a:blip>
                    <a:srcRect/>
                    <a:stretch>
                      <a:fillRect/>
                    </a:stretch>
                  </pic:blipFill>
                  <pic:spPr bwMode="auto">
                    <a:xfrm>
                      <a:off x="0" y="0"/>
                      <a:ext cx="7145020" cy="3394710"/>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182"/>
        </w:trPr>
        <w:tc>
          <w:tcPr>
            <w:tcW w:w="5240" w:type="dxa"/>
            <w:vAlign w:val="bottom"/>
            <w:gridSpan w:val="4"/>
          </w:tcPr>
          <w:p>
            <w:pPr>
              <w:spacing w:after="0"/>
              <w:rPr>
                <w:sz w:val="20"/>
                <w:szCs w:val="20"/>
                <w:color w:val="auto"/>
              </w:rPr>
            </w:pPr>
            <w:r>
              <w:rPr>
                <w:rFonts w:ascii="Arial" w:cs="Arial" w:eastAsia="Arial" w:hAnsi="Arial"/>
                <w:sz w:val="14"/>
                <w:szCs w:val="14"/>
                <w:b w:val="1"/>
                <w:bCs w:val="1"/>
                <w:i w:val="1"/>
                <w:iCs w:val="1"/>
                <w:color w:val="auto"/>
              </w:rPr>
              <w:t>($'s in millions, except operating margin and EPS)</w:t>
            </w:r>
          </w:p>
        </w:tc>
        <w:tc>
          <w:tcPr>
            <w:tcW w:w="1860" w:type="dxa"/>
            <w:vAlign w:val="bottom"/>
            <w:tcBorders>
              <w:top w:val="single" w:sz="8" w:color="auto"/>
              <w:bottom w:val="single" w:sz="8" w:color="auto"/>
            </w:tcBorders>
            <w:gridSpan w:val="3"/>
          </w:tcPr>
          <w:p>
            <w:pPr>
              <w:ind w:left="1000"/>
              <w:spacing w:after="0" w:line="183" w:lineRule="exact"/>
              <w:rPr>
                <w:sz w:val="20"/>
                <w:szCs w:val="20"/>
                <w:color w:val="auto"/>
              </w:rPr>
            </w:pPr>
            <w:r>
              <w:rPr>
                <w:rFonts w:ascii="Arial" w:cs="Arial" w:eastAsia="Arial" w:hAnsi="Arial"/>
                <w:sz w:val="16"/>
                <w:szCs w:val="16"/>
                <w:b w:val="1"/>
                <w:bCs w:val="1"/>
                <w:color w:val="auto"/>
              </w:rPr>
              <w:t>$ Range</w:t>
            </w:r>
          </w:p>
        </w:tc>
        <w:tc>
          <w:tcPr>
            <w:tcW w:w="760" w:type="dxa"/>
            <w:vAlign w:val="bottom"/>
            <w:tcBorders>
              <w:top w:val="single" w:sz="8" w:color="auto"/>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600" w:type="dxa"/>
            <w:vAlign w:val="bottom"/>
            <w:tcBorders>
              <w:top w:val="single" w:sz="8" w:color="auto"/>
              <w:bottom w:val="single" w:sz="8" w:color="auto"/>
            </w:tcBorders>
            <w:gridSpan w:val="2"/>
          </w:tcPr>
          <w:p>
            <w:pPr>
              <w:ind w:left="660"/>
              <w:spacing w:after="0" w:line="183" w:lineRule="exact"/>
              <w:rPr>
                <w:sz w:val="20"/>
                <w:szCs w:val="20"/>
                <w:color w:val="auto"/>
              </w:rPr>
            </w:pPr>
            <w:r>
              <w:rPr>
                <w:rFonts w:ascii="Arial" w:cs="Arial" w:eastAsia="Arial" w:hAnsi="Arial"/>
                <w:sz w:val="16"/>
                <w:szCs w:val="16"/>
                <w:b w:val="1"/>
                <w:bCs w:val="1"/>
                <w:color w:val="auto"/>
              </w:rPr>
              <w:t>% Growth Range</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1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380" w:type="dxa"/>
            <w:vAlign w:val="bottom"/>
            <w:gridSpan w:val="2"/>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5220" w:type="dxa"/>
            <w:vAlign w:val="bottom"/>
            <w:gridSpan w:val="3"/>
            <w:shd w:val="clear" w:color="auto" w:fill="CCFFCC"/>
          </w:tcPr>
          <w:p>
            <w:pPr>
              <w:spacing w:after="0"/>
              <w:rPr>
                <w:sz w:val="20"/>
                <w:szCs w:val="20"/>
                <w:color w:val="auto"/>
              </w:rPr>
            </w:pPr>
            <w:r>
              <w:rPr>
                <w:rFonts w:ascii="Arial" w:cs="Arial" w:eastAsia="Arial" w:hAnsi="Arial"/>
                <w:sz w:val="16"/>
                <w:szCs w:val="16"/>
                <w:b w:val="1"/>
                <w:bCs w:val="1"/>
                <w:color w:val="auto"/>
              </w:rPr>
              <w:t>Total revenue</w:t>
            </w:r>
          </w:p>
        </w:tc>
        <w:tc>
          <w:tcPr>
            <w:tcW w:w="1160" w:type="dxa"/>
            <w:vAlign w:val="bottom"/>
            <w:shd w:val="clear" w:color="auto" w:fill="CCFFCC"/>
          </w:tcPr>
          <w:p>
            <w:pPr>
              <w:jc w:val="right"/>
              <w:spacing w:after="0"/>
              <w:rPr>
                <w:sz w:val="20"/>
                <w:szCs w:val="20"/>
                <w:color w:val="auto"/>
              </w:rPr>
            </w:pPr>
            <w:r>
              <w:rPr>
                <w:rFonts w:ascii="Arial" w:cs="Arial" w:eastAsia="Arial" w:hAnsi="Arial"/>
                <w:sz w:val="16"/>
                <w:szCs w:val="16"/>
                <w:b w:val="1"/>
                <w:bCs w:val="1"/>
                <w:color w:val="auto"/>
              </w:rPr>
              <w:t>$1,073</w:t>
            </w:r>
          </w:p>
        </w:tc>
        <w:tc>
          <w:tcPr>
            <w:tcW w:w="280" w:type="dxa"/>
            <w:vAlign w:val="bottom"/>
            <w:shd w:val="clear" w:color="auto" w:fill="CCFFCC"/>
          </w:tcPr>
          <w:p>
            <w:pPr>
              <w:spacing w:after="0"/>
              <w:rPr>
                <w:sz w:val="16"/>
                <w:szCs w:val="16"/>
                <w:color w:val="auto"/>
              </w:rPr>
            </w:pPr>
          </w:p>
        </w:tc>
        <w:tc>
          <w:tcPr>
            <w:tcW w:w="420" w:type="dxa"/>
            <w:vAlign w:val="bottom"/>
            <w:shd w:val="clear" w:color="auto" w:fill="CCFFCC"/>
          </w:tcPr>
          <w:p>
            <w:pPr>
              <w:spacing w:after="0"/>
              <w:rPr>
                <w:sz w:val="16"/>
                <w:szCs w:val="16"/>
                <w:color w:val="auto"/>
              </w:rPr>
            </w:pPr>
          </w:p>
        </w:tc>
        <w:tc>
          <w:tcPr>
            <w:tcW w:w="760" w:type="dxa"/>
            <w:vAlign w:val="bottom"/>
            <w:shd w:val="clear" w:color="auto" w:fill="CCFFCC"/>
          </w:tcPr>
          <w:p>
            <w:pPr>
              <w:jc w:val="right"/>
              <w:spacing w:after="0"/>
              <w:rPr>
                <w:sz w:val="20"/>
                <w:szCs w:val="20"/>
                <w:color w:val="auto"/>
              </w:rPr>
            </w:pPr>
            <w:r>
              <w:rPr>
                <w:rFonts w:ascii="Arial" w:cs="Arial" w:eastAsia="Arial" w:hAnsi="Arial"/>
                <w:sz w:val="16"/>
                <w:szCs w:val="16"/>
                <w:b w:val="1"/>
                <w:bCs w:val="1"/>
                <w:color w:val="auto"/>
              </w:rPr>
              <w:t>$1,077</w:t>
            </w:r>
          </w:p>
        </w:tc>
        <w:tc>
          <w:tcPr>
            <w:tcW w:w="1380" w:type="dxa"/>
            <w:vAlign w:val="bottom"/>
            <w:gridSpan w:val="2"/>
            <w:shd w:val="clear" w:color="auto" w:fill="CCFFCC"/>
          </w:tcPr>
          <w:p>
            <w:pPr>
              <w:jc w:val="center"/>
              <w:ind w:left="99"/>
              <w:spacing w:after="0"/>
              <w:rPr>
                <w:sz w:val="20"/>
                <w:szCs w:val="20"/>
                <w:color w:val="auto"/>
              </w:rPr>
            </w:pPr>
            <w:r>
              <w:rPr>
                <w:rFonts w:ascii="Arial" w:cs="Arial" w:eastAsia="Arial" w:hAnsi="Arial"/>
                <w:sz w:val="16"/>
                <w:szCs w:val="16"/>
                <w:b w:val="1"/>
                <w:bCs w:val="1"/>
                <w:color w:val="auto"/>
              </w:rPr>
              <w:t>3%</w:t>
            </w:r>
          </w:p>
        </w:tc>
        <w:tc>
          <w:tcPr>
            <w:tcW w:w="1420" w:type="dxa"/>
            <w:vAlign w:val="bottom"/>
            <w:shd w:val="clear" w:color="auto" w:fill="CCFFCC"/>
          </w:tcPr>
          <w:p>
            <w:pPr>
              <w:jc w:val="center"/>
              <w:ind w:left="179"/>
              <w:spacing w:after="0"/>
              <w:rPr>
                <w:sz w:val="20"/>
                <w:szCs w:val="20"/>
                <w:color w:val="auto"/>
              </w:rPr>
            </w:pPr>
            <w:r>
              <w:rPr>
                <w:rFonts w:ascii="Arial" w:cs="Arial" w:eastAsia="Arial" w:hAnsi="Arial"/>
                <w:sz w:val="16"/>
                <w:szCs w:val="16"/>
                <w:b w:val="1"/>
                <w:bCs w:val="1"/>
                <w:color w:val="auto"/>
              </w:rPr>
              <w:t>3%</w:t>
            </w:r>
          </w:p>
        </w:tc>
        <w:tc>
          <w:tcPr>
            <w:tcW w:w="0" w:type="dxa"/>
            <w:vAlign w:val="bottom"/>
          </w:tcPr>
          <w:p>
            <w:pPr>
              <w:spacing w:after="0"/>
              <w:rPr>
                <w:sz w:val="1"/>
                <w:szCs w:val="1"/>
                <w:color w:val="auto"/>
              </w:rPr>
            </w:pPr>
          </w:p>
        </w:tc>
      </w:tr>
      <w:tr>
        <w:trPr>
          <w:trHeight w:val="351"/>
        </w:trPr>
        <w:tc>
          <w:tcPr>
            <w:tcW w:w="5240" w:type="dxa"/>
            <w:vAlign w:val="bottom"/>
            <w:gridSpan w:val="4"/>
          </w:tcPr>
          <w:p>
            <w:pPr>
              <w:spacing w:after="0"/>
              <w:rPr>
                <w:sz w:val="20"/>
                <w:szCs w:val="20"/>
                <w:color w:val="auto"/>
              </w:rPr>
            </w:pPr>
            <w:r>
              <w:rPr>
                <w:rFonts w:ascii="Arial" w:cs="Arial" w:eastAsia="Arial" w:hAnsi="Arial"/>
                <w:sz w:val="16"/>
                <w:szCs w:val="16"/>
                <w:b w:val="1"/>
                <w:bCs w:val="1"/>
                <w:i w:val="1"/>
                <w:iCs w:val="1"/>
                <w:color w:val="auto"/>
              </w:rPr>
              <w:t>Operating Margin:</w:t>
            </w: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118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5220" w:type="dxa"/>
            <w:vAlign w:val="bottom"/>
            <w:gridSpan w:val="3"/>
            <w:shd w:val="clear" w:color="auto" w:fill="CCFFCC"/>
          </w:tcPr>
          <w:p>
            <w:pPr>
              <w:spacing w:after="0"/>
              <w:rPr>
                <w:sz w:val="20"/>
                <w:szCs w:val="20"/>
                <w:color w:val="auto"/>
              </w:rPr>
            </w:pPr>
            <w:r>
              <w:rPr>
                <w:rFonts w:ascii="Arial" w:cs="Arial" w:eastAsia="Arial" w:hAnsi="Arial"/>
                <w:sz w:val="16"/>
                <w:szCs w:val="16"/>
                <w:b w:val="1"/>
                <w:bCs w:val="1"/>
                <w:color w:val="auto"/>
              </w:rPr>
              <w:t>GAAP operating margin</w:t>
            </w:r>
          </w:p>
        </w:tc>
        <w:tc>
          <w:tcPr>
            <w:tcW w:w="1160" w:type="dxa"/>
            <w:vAlign w:val="bottom"/>
            <w:shd w:val="clear" w:color="auto" w:fill="CCFFCC"/>
          </w:tcPr>
          <w:p>
            <w:pPr>
              <w:jc w:val="right"/>
              <w:spacing w:after="0"/>
              <w:rPr>
                <w:sz w:val="20"/>
                <w:szCs w:val="20"/>
                <w:color w:val="auto"/>
              </w:rPr>
            </w:pPr>
            <w:r>
              <w:rPr>
                <w:rFonts w:ascii="Arial" w:cs="Arial" w:eastAsia="Arial" w:hAnsi="Arial"/>
                <w:sz w:val="16"/>
                <w:szCs w:val="16"/>
                <w:b w:val="1"/>
                <w:bCs w:val="1"/>
                <w:color w:val="auto"/>
              </w:rPr>
              <w:t>25.0%</w:t>
            </w:r>
          </w:p>
        </w:tc>
        <w:tc>
          <w:tcPr>
            <w:tcW w:w="280" w:type="dxa"/>
            <w:vAlign w:val="bottom"/>
            <w:shd w:val="clear" w:color="auto" w:fill="CCFFCC"/>
          </w:tcPr>
          <w:p>
            <w:pPr>
              <w:spacing w:after="0"/>
              <w:rPr>
                <w:sz w:val="16"/>
                <w:szCs w:val="16"/>
                <w:color w:val="auto"/>
              </w:rPr>
            </w:pPr>
          </w:p>
        </w:tc>
        <w:tc>
          <w:tcPr>
            <w:tcW w:w="420" w:type="dxa"/>
            <w:vAlign w:val="bottom"/>
            <w:shd w:val="clear" w:color="auto" w:fill="CCFFCC"/>
          </w:tcPr>
          <w:p>
            <w:pPr>
              <w:spacing w:after="0"/>
              <w:rPr>
                <w:sz w:val="16"/>
                <w:szCs w:val="16"/>
                <w:color w:val="auto"/>
              </w:rPr>
            </w:pPr>
          </w:p>
        </w:tc>
        <w:tc>
          <w:tcPr>
            <w:tcW w:w="760" w:type="dxa"/>
            <w:vAlign w:val="bottom"/>
            <w:shd w:val="clear" w:color="auto" w:fill="CCFFCC"/>
          </w:tcPr>
          <w:p>
            <w:pPr>
              <w:jc w:val="right"/>
              <w:spacing w:after="0"/>
              <w:rPr>
                <w:sz w:val="20"/>
                <w:szCs w:val="20"/>
                <w:color w:val="auto"/>
              </w:rPr>
            </w:pPr>
            <w:r>
              <w:rPr>
                <w:rFonts w:ascii="Arial" w:cs="Arial" w:eastAsia="Arial" w:hAnsi="Arial"/>
                <w:sz w:val="16"/>
                <w:szCs w:val="16"/>
                <w:b w:val="1"/>
                <w:bCs w:val="1"/>
                <w:color w:val="auto"/>
              </w:rPr>
              <w:t>25.2%</w:t>
            </w:r>
          </w:p>
        </w:tc>
        <w:tc>
          <w:tcPr>
            <w:tcW w:w="200" w:type="dxa"/>
            <w:vAlign w:val="bottom"/>
            <w:shd w:val="clear" w:color="auto" w:fill="CCFFCC"/>
          </w:tcPr>
          <w:p>
            <w:pPr>
              <w:spacing w:after="0"/>
              <w:rPr>
                <w:sz w:val="16"/>
                <w:szCs w:val="16"/>
                <w:color w:val="auto"/>
              </w:rPr>
            </w:pPr>
          </w:p>
        </w:tc>
        <w:tc>
          <w:tcPr>
            <w:tcW w:w="1180" w:type="dxa"/>
            <w:vAlign w:val="bottom"/>
            <w:shd w:val="clear" w:color="auto" w:fill="CCFFCC"/>
          </w:tcPr>
          <w:p>
            <w:pPr>
              <w:spacing w:after="0"/>
              <w:rPr>
                <w:sz w:val="16"/>
                <w:szCs w:val="16"/>
                <w:color w:val="auto"/>
              </w:rPr>
            </w:pPr>
          </w:p>
        </w:tc>
        <w:tc>
          <w:tcPr>
            <w:tcW w:w="1420" w:type="dxa"/>
            <w:vAlign w:val="bottom"/>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220" w:type="dxa"/>
            <w:vAlign w:val="bottom"/>
            <w:gridSpan w:val="3"/>
            <w:shd w:val="clear" w:color="auto" w:fill="CCFFCC"/>
          </w:tcPr>
          <w:p>
            <w:pPr>
              <w:ind w:left="20"/>
              <w:spacing w:after="0" w:line="148" w:lineRule="exact"/>
              <w:rPr>
                <w:sz w:val="20"/>
                <w:szCs w:val="20"/>
                <w:color w:val="auto"/>
              </w:rPr>
            </w:pPr>
            <w:r>
              <w:rPr>
                <w:rFonts w:ascii="Arial" w:cs="Arial" w:eastAsia="Arial" w:hAnsi="Arial"/>
                <w:sz w:val="16"/>
                <w:szCs w:val="16"/>
                <w:b w:val="1"/>
                <w:bCs w:val="1"/>
                <w:color w:val="auto"/>
              </w:rPr>
              <w:t>Equity-based compensation</w:t>
            </w:r>
          </w:p>
        </w:tc>
        <w:tc>
          <w:tcPr>
            <w:tcW w:w="1160" w:type="dxa"/>
            <w:vAlign w:val="bottom"/>
            <w:shd w:val="clear" w:color="auto" w:fill="CCFFCC"/>
          </w:tcPr>
          <w:p>
            <w:pPr>
              <w:jc w:val="right"/>
              <w:spacing w:after="0" w:line="148" w:lineRule="exact"/>
              <w:rPr>
                <w:sz w:val="20"/>
                <w:szCs w:val="20"/>
                <w:color w:val="auto"/>
              </w:rPr>
            </w:pPr>
            <w:r>
              <w:rPr>
                <w:rFonts w:ascii="Arial" w:cs="Arial" w:eastAsia="Arial" w:hAnsi="Arial"/>
                <w:sz w:val="16"/>
                <w:szCs w:val="16"/>
                <w:b w:val="1"/>
                <w:bCs w:val="1"/>
                <w:color w:val="auto"/>
              </w:rPr>
              <w:t>10.1%</w:t>
            </w:r>
          </w:p>
        </w:tc>
        <w:tc>
          <w:tcPr>
            <w:tcW w:w="280" w:type="dxa"/>
            <w:vAlign w:val="bottom"/>
            <w:shd w:val="clear" w:color="auto" w:fill="CCFFCC"/>
          </w:tcPr>
          <w:p>
            <w:pPr>
              <w:spacing w:after="0"/>
              <w:rPr>
                <w:sz w:val="12"/>
                <w:szCs w:val="12"/>
                <w:color w:val="auto"/>
              </w:rPr>
            </w:pPr>
          </w:p>
        </w:tc>
        <w:tc>
          <w:tcPr>
            <w:tcW w:w="420" w:type="dxa"/>
            <w:vAlign w:val="bottom"/>
            <w:shd w:val="clear" w:color="auto" w:fill="CCFFCC"/>
          </w:tcPr>
          <w:p>
            <w:pPr>
              <w:spacing w:after="0"/>
              <w:rPr>
                <w:sz w:val="12"/>
                <w:szCs w:val="12"/>
                <w:color w:val="auto"/>
              </w:rPr>
            </w:pPr>
          </w:p>
        </w:tc>
        <w:tc>
          <w:tcPr>
            <w:tcW w:w="760" w:type="dxa"/>
            <w:vAlign w:val="bottom"/>
            <w:shd w:val="clear" w:color="auto" w:fill="CCFFCC"/>
          </w:tcPr>
          <w:p>
            <w:pPr>
              <w:jc w:val="right"/>
              <w:spacing w:after="0" w:line="148" w:lineRule="exact"/>
              <w:rPr>
                <w:sz w:val="20"/>
                <w:szCs w:val="20"/>
                <w:color w:val="auto"/>
              </w:rPr>
            </w:pPr>
            <w:r>
              <w:rPr>
                <w:rFonts w:ascii="Arial" w:cs="Arial" w:eastAsia="Arial" w:hAnsi="Arial"/>
                <w:sz w:val="16"/>
                <w:szCs w:val="16"/>
                <w:b w:val="1"/>
                <w:bCs w:val="1"/>
                <w:color w:val="auto"/>
              </w:rPr>
              <w:t>10.1%</w:t>
            </w:r>
          </w:p>
        </w:tc>
        <w:tc>
          <w:tcPr>
            <w:tcW w:w="200" w:type="dxa"/>
            <w:vAlign w:val="bottom"/>
            <w:shd w:val="clear" w:color="auto" w:fill="CCFFCC"/>
          </w:tcPr>
          <w:p>
            <w:pPr>
              <w:spacing w:after="0"/>
              <w:rPr>
                <w:sz w:val="12"/>
                <w:szCs w:val="12"/>
                <w:color w:val="auto"/>
              </w:rPr>
            </w:pPr>
          </w:p>
        </w:tc>
        <w:tc>
          <w:tcPr>
            <w:tcW w:w="1180" w:type="dxa"/>
            <w:vAlign w:val="bottom"/>
            <w:shd w:val="clear" w:color="auto" w:fill="CCFFCC"/>
          </w:tcPr>
          <w:p>
            <w:pPr>
              <w:spacing w:after="0"/>
              <w:rPr>
                <w:sz w:val="12"/>
                <w:szCs w:val="12"/>
                <w:color w:val="auto"/>
              </w:rPr>
            </w:pPr>
          </w:p>
        </w:tc>
        <w:tc>
          <w:tcPr>
            <w:tcW w:w="142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220" w:type="dxa"/>
            <w:vAlign w:val="bottom"/>
            <w:gridSpan w:val="3"/>
            <w:shd w:val="clear" w:color="auto" w:fill="CCFFCC"/>
          </w:tcPr>
          <w:p>
            <w:pPr>
              <w:ind w:left="20"/>
              <w:spacing w:after="0" w:line="203" w:lineRule="exact"/>
              <w:rPr>
                <w:sz w:val="20"/>
                <w:szCs w:val="20"/>
                <w:color w:val="auto"/>
              </w:rPr>
            </w:pPr>
            <w:r>
              <w:rPr>
                <w:rFonts w:ascii="Arial" w:cs="Arial" w:eastAsia="Arial" w:hAnsi="Arial"/>
                <w:sz w:val="16"/>
                <w:szCs w:val="16"/>
                <w:b w:val="1"/>
                <w:bCs w:val="1"/>
                <w:color w:val="auto"/>
              </w:rPr>
              <w:t>Unusual health insurance claim</w:t>
            </w:r>
            <w:r>
              <w:rPr>
                <w:rFonts w:ascii="Arial" w:cs="Arial" w:eastAsia="Arial" w:hAnsi="Arial"/>
                <w:sz w:val="21"/>
                <w:szCs w:val="21"/>
                <w:b w:val="1"/>
                <w:bCs w:val="1"/>
                <w:color w:val="auto"/>
                <w:vertAlign w:val="superscript"/>
              </w:rPr>
              <w:t>(3)</w:t>
            </w:r>
          </w:p>
        </w:tc>
        <w:tc>
          <w:tcPr>
            <w:tcW w:w="1160" w:type="dxa"/>
            <w:vAlign w:val="bottom"/>
            <w:shd w:val="clear" w:color="auto" w:fill="CCFFCC"/>
          </w:tcPr>
          <w:p>
            <w:pPr>
              <w:jc w:val="right"/>
              <w:spacing w:after="0"/>
              <w:rPr>
                <w:sz w:val="20"/>
                <w:szCs w:val="20"/>
                <w:color w:val="auto"/>
              </w:rPr>
            </w:pPr>
            <w:r>
              <w:rPr>
                <w:rFonts w:ascii="Arial" w:cs="Arial" w:eastAsia="Arial" w:hAnsi="Arial"/>
                <w:sz w:val="16"/>
                <w:szCs w:val="16"/>
                <w:b w:val="1"/>
                <w:bCs w:val="1"/>
                <w:color w:val="auto"/>
              </w:rPr>
              <w:t>0.2%</w:t>
            </w:r>
          </w:p>
        </w:tc>
        <w:tc>
          <w:tcPr>
            <w:tcW w:w="280" w:type="dxa"/>
            <w:vAlign w:val="bottom"/>
            <w:shd w:val="clear" w:color="auto" w:fill="CCFFCC"/>
          </w:tcPr>
          <w:p>
            <w:pPr>
              <w:spacing w:after="0"/>
              <w:rPr>
                <w:sz w:val="17"/>
                <w:szCs w:val="17"/>
                <w:color w:val="auto"/>
              </w:rPr>
            </w:pPr>
          </w:p>
        </w:tc>
        <w:tc>
          <w:tcPr>
            <w:tcW w:w="420" w:type="dxa"/>
            <w:vAlign w:val="bottom"/>
            <w:shd w:val="clear" w:color="auto" w:fill="CCFFCC"/>
          </w:tcPr>
          <w:p>
            <w:pPr>
              <w:spacing w:after="0"/>
              <w:rPr>
                <w:sz w:val="17"/>
                <w:szCs w:val="17"/>
                <w:color w:val="auto"/>
              </w:rPr>
            </w:pPr>
          </w:p>
        </w:tc>
        <w:tc>
          <w:tcPr>
            <w:tcW w:w="760" w:type="dxa"/>
            <w:vAlign w:val="bottom"/>
            <w:shd w:val="clear" w:color="auto" w:fill="CCFFCC"/>
          </w:tcPr>
          <w:p>
            <w:pPr>
              <w:jc w:val="right"/>
              <w:spacing w:after="0"/>
              <w:rPr>
                <w:sz w:val="20"/>
                <w:szCs w:val="20"/>
                <w:color w:val="auto"/>
              </w:rPr>
            </w:pPr>
            <w:r>
              <w:rPr>
                <w:rFonts w:ascii="Arial" w:cs="Arial" w:eastAsia="Arial" w:hAnsi="Arial"/>
                <w:sz w:val="16"/>
                <w:szCs w:val="16"/>
                <w:b w:val="1"/>
                <w:bCs w:val="1"/>
                <w:color w:val="auto"/>
              </w:rPr>
              <w:t>0.2%</w:t>
            </w:r>
          </w:p>
        </w:tc>
        <w:tc>
          <w:tcPr>
            <w:tcW w:w="200" w:type="dxa"/>
            <w:vAlign w:val="bottom"/>
            <w:shd w:val="clear" w:color="auto" w:fill="CCFFCC"/>
          </w:tcPr>
          <w:p>
            <w:pPr>
              <w:spacing w:after="0"/>
              <w:rPr>
                <w:sz w:val="17"/>
                <w:szCs w:val="17"/>
                <w:color w:val="auto"/>
              </w:rPr>
            </w:pPr>
          </w:p>
        </w:tc>
        <w:tc>
          <w:tcPr>
            <w:tcW w:w="1180" w:type="dxa"/>
            <w:vAlign w:val="bottom"/>
            <w:shd w:val="clear" w:color="auto" w:fill="CCFFCC"/>
          </w:tcPr>
          <w:p>
            <w:pPr>
              <w:spacing w:after="0"/>
              <w:rPr>
                <w:sz w:val="17"/>
                <w:szCs w:val="17"/>
                <w:color w:val="auto"/>
              </w:rPr>
            </w:pPr>
          </w:p>
        </w:tc>
        <w:tc>
          <w:tcPr>
            <w:tcW w:w="142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Borders>
              <w:bottom w:val="single" w:sz="8" w:color="CCFFCC"/>
            </w:tcBorders>
            <w:gridSpan w:val="3"/>
            <w:shd w:val="clear" w:color="auto" w:fill="CCFFCC"/>
          </w:tcPr>
          <w:p>
            <w:pPr>
              <w:ind w:left="20"/>
              <w:spacing w:after="0" w:line="216" w:lineRule="exact"/>
              <w:rPr>
                <w:sz w:val="20"/>
                <w:szCs w:val="20"/>
                <w:color w:val="auto"/>
              </w:rPr>
            </w:pPr>
            <w:r>
              <w:rPr>
                <w:rFonts w:ascii="Arial" w:cs="Arial" w:eastAsia="Arial" w:hAnsi="Arial"/>
                <w:sz w:val="16"/>
                <w:szCs w:val="16"/>
                <w:b w:val="1"/>
                <w:bCs w:val="1"/>
                <w:color w:val="auto"/>
              </w:rPr>
              <w:t>Restructuring expense</w:t>
            </w:r>
            <w:r>
              <w:rPr>
                <w:rFonts w:ascii="Arial" w:cs="Arial" w:eastAsia="Arial" w:hAnsi="Arial"/>
                <w:sz w:val="21"/>
                <w:szCs w:val="21"/>
                <w:b w:val="1"/>
                <w:bCs w:val="1"/>
                <w:color w:val="auto"/>
                <w:vertAlign w:val="superscript"/>
              </w:rPr>
              <w:t>(4)</w:t>
            </w:r>
          </w:p>
        </w:tc>
        <w:tc>
          <w:tcPr>
            <w:tcW w:w="11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b w:val="1"/>
                <w:bCs w:val="1"/>
                <w:color w:val="auto"/>
              </w:rPr>
              <w:t>0.2%</w:t>
            </w:r>
          </w:p>
        </w:tc>
        <w:tc>
          <w:tcPr>
            <w:tcW w:w="280" w:type="dxa"/>
            <w:vAlign w:val="bottom"/>
            <w:tcBorders>
              <w:bottom w:val="single" w:sz="8" w:color="CCFFCC"/>
            </w:tcBorders>
            <w:shd w:val="clear" w:color="auto" w:fill="CCFFCC"/>
          </w:tcPr>
          <w:p>
            <w:pPr>
              <w:spacing w:after="0"/>
              <w:rPr>
                <w:sz w:val="18"/>
                <w:szCs w:val="18"/>
                <w:color w:val="auto"/>
              </w:rPr>
            </w:pPr>
          </w:p>
        </w:tc>
        <w:tc>
          <w:tcPr>
            <w:tcW w:w="420" w:type="dxa"/>
            <w:vAlign w:val="bottom"/>
            <w:tcBorders>
              <w:bottom w:val="single" w:sz="8" w:color="auto"/>
            </w:tcBorders>
            <w:shd w:val="clear" w:color="auto" w:fill="CCFFCC"/>
          </w:tcPr>
          <w:p>
            <w:pPr>
              <w:spacing w:after="0"/>
              <w:rPr>
                <w:sz w:val="18"/>
                <w:szCs w:val="18"/>
                <w:color w:val="auto"/>
              </w:rPr>
            </w:pPr>
          </w:p>
        </w:tc>
        <w:tc>
          <w:tcPr>
            <w:tcW w:w="7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b w:val="1"/>
                <w:bCs w:val="1"/>
                <w:color w:val="auto"/>
              </w:rPr>
              <w:t>0.2%</w:t>
            </w:r>
          </w:p>
        </w:tc>
        <w:tc>
          <w:tcPr>
            <w:tcW w:w="200" w:type="dxa"/>
            <w:vAlign w:val="bottom"/>
            <w:tcBorders>
              <w:bottom w:val="single" w:sz="8" w:color="CCFFCC"/>
            </w:tcBorders>
            <w:shd w:val="clear" w:color="auto" w:fill="CCFFCC"/>
          </w:tcPr>
          <w:p>
            <w:pPr>
              <w:spacing w:after="0"/>
              <w:rPr>
                <w:sz w:val="18"/>
                <w:szCs w:val="18"/>
                <w:color w:val="auto"/>
              </w:rPr>
            </w:pPr>
          </w:p>
        </w:tc>
        <w:tc>
          <w:tcPr>
            <w:tcW w:w="1180" w:type="dxa"/>
            <w:vAlign w:val="bottom"/>
            <w:tcBorders>
              <w:bottom w:val="single" w:sz="8" w:color="CCFFCC"/>
            </w:tcBorders>
            <w:shd w:val="clear" w:color="auto" w:fill="CCFFCC"/>
          </w:tcPr>
          <w:p>
            <w:pPr>
              <w:spacing w:after="0"/>
              <w:rPr>
                <w:sz w:val="18"/>
                <w:szCs w:val="18"/>
                <w:color w:val="auto"/>
              </w:rPr>
            </w:pPr>
          </w:p>
        </w:tc>
        <w:tc>
          <w:tcPr>
            <w:tcW w:w="1420" w:type="dxa"/>
            <w:vAlign w:val="bottom"/>
            <w:tcBorders>
              <w:bottom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20" w:type="dxa"/>
            <w:vAlign w:val="bottom"/>
            <w:tcBorders>
              <w:bottom w:val="single" w:sz="8" w:color="CCFFCC"/>
            </w:tcBorders>
            <w:gridSpan w:val="3"/>
            <w:shd w:val="clear" w:color="auto" w:fill="CCFFCC"/>
          </w:tcPr>
          <w:p>
            <w:pPr>
              <w:spacing w:after="0" w:line="163" w:lineRule="exact"/>
              <w:rPr>
                <w:sz w:val="20"/>
                <w:szCs w:val="20"/>
                <w:color w:val="auto"/>
              </w:rPr>
            </w:pPr>
            <w:r>
              <w:rPr>
                <w:rFonts w:ascii="Arial" w:cs="Arial" w:eastAsia="Arial" w:hAnsi="Arial"/>
                <w:sz w:val="14"/>
                <w:szCs w:val="14"/>
                <w:b w:val="1"/>
                <w:bCs w:val="1"/>
                <w:color w:val="auto"/>
              </w:rPr>
              <w:t>Adjusted operating margin</w:t>
            </w:r>
            <w:r>
              <w:rPr>
                <w:rFonts w:ascii="Arial" w:cs="Arial" w:eastAsia="Arial" w:hAnsi="Arial"/>
                <w:sz w:val="18"/>
                <w:szCs w:val="18"/>
                <w:b w:val="1"/>
                <w:bCs w:val="1"/>
                <w:color w:val="auto"/>
                <w:vertAlign w:val="superscript"/>
              </w:rPr>
              <w:t>(1)</w:t>
            </w:r>
          </w:p>
        </w:tc>
        <w:tc>
          <w:tcPr>
            <w:tcW w:w="1160" w:type="dxa"/>
            <w:vAlign w:val="bottom"/>
            <w:tcBorders>
              <w:bottom w:val="single" w:sz="8" w:color="auto"/>
            </w:tcBorders>
            <w:shd w:val="clear" w:color="auto" w:fill="CCFFCC"/>
          </w:tcPr>
          <w:p>
            <w:pPr>
              <w:jc w:val="right"/>
              <w:spacing w:after="0" w:line="169" w:lineRule="exact"/>
              <w:rPr>
                <w:sz w:val="20"/>
                <w:szCs w:val="20"/>
                <w:color w:val="auto"/>
              </w:rPr>
            </w:pPr>
            <w:r>
              <w:rPr>
                <w:rFonts w:ascii="Arial" w:cs="Arial" w:eastAsia="Arial" w:hAnsi="Arial"/>
                <w:sz w:val="16"/>
                <w:szCs w:val="16"/>
                <w:b w:val="1"/>
                <w:bCs w:val="1"/>
                <w:color w:val="auto"/>
              </w:rPr>
              <w:t>35.5%</w:t>
            </w:r>
          </w:p>
        </w:tc>
        <w:tc>
          <w:tcPr>
            <w:tcW w:w="280" w:type="dxa"/>
            <w:vAlign w:val="bottom"/>
            <w:tcBorders>
              <w:bottom w:val="single" w:sz="8" w:color="CCFFCC"/>
            </w:tcBorders>
            <w:shd w:val="clear" w:color="auto" w:fill="CCFFCC"/>
          </w:tcPr>
          <w:p>
            <w:pPr>
              <w:spacing w:after="0"/>
              <w:rPr>
                <w:sz w:val="19"/>
                <w:szCs w:val="19"/>
                <w:color w:val="auto"/>
              </w:rPr>
            </w:pPr>
          </w:p>
        </w:tc>
        <w:tc>
          <w:tcPr>
            <w:tcW w:w="420" w:type="dxa"/>
            <w:vAlign w:val="bottom"/>
            <w:tcBorders>
              <w:bottom w:val="single" w:sz="8" w:color="auto"/>
            </w:tcBorders>
            <w:shd w:val="clear" w:color="auto" w:fill="CCFFCC"/>
          </w:tcPr>
          <w:p>
            <w:pPr>
              <w:spacing w:after="0"/>
              <w:rPr>
                <w:sz w:val="19"/>
                <w:szCs w:val="19"/>
                <w:color w:val="auto"/>
              </w:rPr>
            </w:pPr>
          </w:p>
        </w:tc>
        <w:tc>
          <w:tcPr>
            <w:tcW w:w="760" w:type="dxa"/>
            <w:vAlign w:val="bottom"/>
            <w:tcBorders>
              <w:bottom w:val="single" w:sz="8" w:color="auto"/>
            </w:tcBorders>
            <w:shd w:val="clear" w:color="auto" w:fill="CCFFCC"/>
          </w:tcPr>
          <w:p>
            <w:pPr>
              <w:jc w:val="right"/>
              <w:spacing w:after="0" w:line="169" w:lineRule="exact"/>
              <w:rPr>
                <w:sz w:val="20"/>
                <w:szCs w:val="20"/>
                <w:color w:val="auto"/>
              </w:rPr>
            </w:pPr>
            <w:r>
              <w:rPr>
                <w:rFonts w:ascii="Arial" w:cs="Arial" w:eastAsia="Arial" w:hAnsi="Arial"/>
                <w:sz w:val="16"/>
                <w:szCs w:val="16"/>
                <w:b w:val="1"/>
                <w:bCs w:val="1"/>
                <w:color w:val="auto"/>
              </w:rPr>
              <w:t>35.7%</w:t>
            </w:r>
          </w:p>
        </w:tc>
        <w:tc>
          <w:tcPr>
            <w:tcW w:w="200" w:type="dxa"/>
            <w:vAlign w:val="bottom"/>
            <w:tcBorders>
              <w:bottom w:val="single" w:sz="8" w:color="CCFFCC"/>
            </w:tcBorders>
            <w:shd w:val="clear" w:color="auto" w:fill="CCFFCC"/>
          </w:tcPr>
          <w:p>
            <w:pPr>
              <w:spacing w:after="0"/>
              <w:rPr>
                <w:sz w:val="19"/>
                <w:szCs w:val="19"/>
                <w:color w:val="auto"/>
              </w:rPr>
            </w:pPr>
          </w:p>
        </w:tc>
        <w:tc>
          <w:tcPr>
            <w:tcW w:w="1180" w:type="dxa"/>
            <w:vAlign w:val="bottom"/>
            <w:tcBorders>
              <w:bottom w:val="single" w:sz="8" w:color="CCFFCC"/>
            </w:tcBorders>
            <w:shd w:val="clear" w:color="auto" w:fill="CCFFCC"/>
          </w:tcPr>
          <w:p>
            <w:pPr>
              <w:spacing w:after="0"/>
              <w:rPr>
                <w:sz w:val="19"/>
                <w:szCs w:val="19"/>
                <w:color w:val="auto"/>
              </w:rPr>
            </w:pPr>
          </w:p>
        </w:tc>
        <w:tc>
          <w:tcPr>
            <w:tcW w:w="1420" w:type="dxa"/>
            <w:vAlign w:val="bottom"/>
            <w:tcBorders>
              <w:bottom w:val="single" w:sz="8" w:color="CCFFCC"/>
            </w:tcBorders>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338"/>
        </w:trPr>
        <w:tc>
          <w:tcPr>
            <w:tcW w:w="5240" w:type="dxa"/>
            <w:vAlign w:val="bottom"/>
            <w:gridSpan w:val="4"/>
          </w:tcPr>
          <w:p>
            <w:pPr>
              <w:spacing w:after="0"/>
              <w:rPr>
                <w:sz w:val="20"/>
                <w:szCs w:val="20"/>
                <w:color w:val="auto"/>
              </w:rPr>
            </w:pPr>
            <w:r>
              <w:rPr>
                <w:rFonts w:ascii="Arial" w:cs="Arial" w:eastAsia="Arial" w:hAnsi="Arial"/>
                <w:sz w:val="16"/>
                <w:szCs w:val="16"/>
                <w:b w:val="1"/>
                <w:bCs w:val="1"/>
                <w:i w:val="1"/>
                <w:iCs w:val="1"/>
                <w:color w:val="auto"/>
              </w:rPr>
              <w:t>Diluted earnings per share (EPS):</w:t>
            </w: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540" w:type="dxa"/>
            <w:vAlign w:val="bottom"/>
            <w:tcBorders>
              <w:top w:val="single" w:sz="8" w:color="auto"/>
            </w:tcBorders>
            <w:gridSpan w:val="2"/>
            <w:shd w:val="clear" w:color="auto" w:fill="CCFFCC"/>
          </w:tcPr>
          <w:p>
            <w:pPr>
              <w:spacing w:after="0"/>
              <w:rPr>
                <w:sz w:val="20"/>
                <w:szCs w:val="20"/>
                <w:color w:val="auto"/>
              </w:rPr>
            </w:pPr>
            <w:r>
              <w:rPr>
                <w:rFonts w:ascii="Arial" w:cs="Arial" w:eastAsia="Arial" w:hAnsi="Arial"/>
                <w:sz w:val="16"/>
                <w:szCs w:val="16"/>
                <w:b w:val="1"/>
                <w:bCs w:val="1"/>
                <w:color w:val="auto"/>
              </w:rPr>
              <w:t>GAAP EPS</w:t>
            </w:r>
          </w:p>
        </w:tc>
        <w:tc>
          <w:tcPr>
            <w:tcW w:w="2680" w:type="dxa"/>
            <w:vAlign w:val="bottom"/>
            <w:shd w:val="clear" w:color="auto" w:fill="CCFFCC"/>
          </w:tcPr>
          <w:p>
            <w:pPr>
              <w:spacing w:after="0"/>
              <w:rPr>
                <w:sz w:val="16"/>
                <w:szCs w:val="16"/>
                <w:color w:val="auto"/>
              </w:rPr>
            </w:pPr>
          </w:p>
        </w:tc>
        <w:tc>
          <w:tcPr>
            <w:tcW w:w="1160" w:type="dxa"/>
            <w:vAlign w:val="bottom"/>
            <w:shd w:val="clear" w:color="auto" w:fill="CCFFCC"/>
          </w:tcPr>
          <w:p>
            <w:pPr>
              <w:jc w:val="right"/>
              <w:spacing w:after="0"/>
              <w:rPr>
                <w:sz w:val="20"/>
                <w:szCs w:val="20"/>
                <w:color w:val="auto"/>
              </w:rPr>
            </w:pPr>
            <w:r>
              <w:rPr>
                <w:rFonts w:ascii="Arial" w:cs="Arial" w:eastAsia="Arial" w:hAnsi="Arial"/>
                <w:sz w:val="16"/>
                <w:szCs w:val="16"/>
                <w:b w:val="1"/>
                <w:bCs w:val="1"/>
                <w:color w:val="auto"/>
              </w:rPr>
              <w:t>$3.43</w:t>
            </w:r>
          </w:p>
        </w:tc>
        <w:tc>
          <w:tcPr>
            <w:tcW w:w="280" w:type="dxa"/>
            <w:vAlign w:val="bottom"/>
            <w:shd w:val="clear" w:color="auto" w:fill="CCFFCC"/>
          </w:tcPr>
          <w:p>
            <w:pPr>
              <w:spacing w:after="0"/>
              <w:rPr>
                <w:sz w:val="16"/>
                <w:szCs w:val="16"/>
                <w:color w:val="auto"/>
              </w:rPr>
            </w:pPr>
          </w:p>
        </w:tc>
        <w:tc>
          <w:tcPr>
            <w:tcW w:w="420" w:type="dxa"/>
            <w:vAlign w:val="bottom"/>
            <w:shd w:val="clear" w:color="auto" w:fill="CCFFCC"/>
          </w:tcPr>
          <w:p>
            <w:pPr>
              <w:spacing w:after="0"/>
              <w:rPr>
                <w:sz w:val="16"/>
                <w:szCs w:val="16"/>
                <w:color w:val="auto"/>
              </w:rPr>
            </w:pPr>
          </w:p>
        </w:tc>
        <w:tc>
          <w:tcPr>
            <w:tcW w:w="760" w:type="dxa"/>
            <w:vAlign w:val="bottom"/>
            <w:shd w:val="clear" w:color="auto" w:fill="CCFFCC"/>
          </w:tcPr>
          <w:p>
            <w:pPr>
              <w:jc w:val="right"/>
              <w:spacing w:after="0"/>
              <w:rPr>
                <w:sz w:val="20"/>
                <w:szCs w:val="20"/>
                <w:color w:val="auto"/>
              </w:rPr>
            </w:pPr>
            <w:r>
              <w:rPr>
                <w:rFonts w:ascii="Arial" w:cs="Arial" w:eastAsia="Arial" w:hAnsi="Arial"/>
                <w:sz w:val="16"/>
                <w:szCs w:val="16"/>
                <w:b w:val="1"/>
                <w:bCs w:val="1"/>
                <w:color w:val="auto"/>
              </w:rPr>
              <w:t>$3.45</w:t>
            </w:r>
          </w:p>
        </w:tc>
        <w:tc>
          <w:tcPr>
            <w:tcW w:w="1380" w:type="dxa"/>
            <w:vAlign w:val="bottom"/>
            <w:gridSpan w:val="2"/>
            <w:shd w:val="clear" w:color="auto" w:fill="CCFFCC"/>
          </w:tcPr>
          <w:p>
            <w:pPr>
              <w:jc w:val="center"/>
              <w:ind w:left="99"/>
              <w:spacing w:after="0"/>
              <w:rPr>
                <w:sz w:val="20"/>
                <w:szCs w:val="20"/>
                <w:color w:val="auto"/>
              </w:rPr>
            </w:pPr>
            <w:r>
              <w:rPr>
                <w:rFonts w:ascii="Arial" w:cs="Arial" w:eastAsia="Arial" w:hAnsi="Arial"/>
                <w:sz w:val="16"/>
                <w:szCs w:val="16"/>
                <w:b w:val="1"/>
                <w:bCs w:val="1"/>
                <w:color w:val="auto"/>
                <w:w w:val="98"/>
              </w:rPr>
              <w:t>-2%</w:t>
            </w:r>
          </w:p>
        </w:tc>
        <w:tc>
          <w:tcPr>
            <w:tcW w:w="1420" w:type="dxa"/>
            <w:vAlign w:val="bottom"/>
            <w:shd w:val="clear" w:color="auto" w:fill="CCFFCC"/>
          </w:tcPr>
          <w:p>
            <w:pPr>
              <w:jc w:val="center"/>
              <w:ind w:left="179"/>
              <w:spacing w:after="0"/>
              <w:rPr>
                <w:sz w:val="20"/>
                <w:szCs w:val="20"/>
                <w:color w:val="auto"/>
              </w:rPr>
            </w:pPr>
            <w:r>
              <w:rPr>
                <w:rFonts w:ascii="Arial" w:cs="Arial" w:eastAsia="Arial" w:hAnsi="Arial"/>
                <w:sz w:val="16"/>
                <w:szCs w:val="16"/>
                <w:b w:val="1"/>
                <w:bCs w:val="1"/>
                <w:color w:val="auto"/>
                <w:w w:val="98"/>
              </w:rPr>
              <w:t>-2%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220" w:type="dxa"/>
            <w:vAlign w:val="bottom"/>
            <w:gridSpan w:val="3"/>
            <w:shd w:val="clear" w:color="auto" w:fill="CCFFCC"/>
          </w:tcPr>
          <w:p>
            <w:pPr>
              <w:ind w:left="20"/>
              <w:spacing w:after="0" w:line="148" w:lineRule="exact"/>
              <w:rPr>
                <w:sz w:val="20"/>
                <w:szCs w:val="20"/>
                <w:color w:val="auto"/>
              </w:rPr>
            </w:pPr>
            <w:r>
              <w:rPr>
                <w:rFonts w:ascii="Arial" w:cs="Arial" w:eastAsia="Arial" w:hAnsi="Arial"/>
                <w:sz w:val="16"/>
                <w:szCs w:val="16"/>
                <w:b w:val="1"/>
                <w:bCs w:val="1"/>
                <w:color w:val="auto"/>
              </w:rPr>
              <w:t>Equity-based compensation</w:t>
            </w:r>
          </w:p>
        </w:tc>
        <w:tc>
          <w:tcPr>
            <w:tcW w:w="1160" w:type="dxa"/>
            <w:vAlign w:val="bottom"/>
            <w:shd w:val="clear" w:color="auto" w:fill="CCFFCC"/>
          </w:tcPr>
          <w:p>
            <w:pPr>
              <w:jc w:val="right"/>
              <w:spacing w:after="0" w:line="148" w:lineRule="exact"/>
              <w:rPr>
                <w:sz w:val="20"/>
                <w:szCs w:val="20"/>
                <w:color w:val="auto"/>
              </w:rPr>
            </w:pPr>
            <w:r>
              <w:rPr>
                <w:rFonts w:ascii="Arial" w:cs="Arial" w:eastAsia="Arial" w:hAnsi="Arial"/>
                <w:sz w:val="16"/>
                <w:szCs w:val="16"/>
                <w:b w:val="1"/>
                <w:bCs w:val="1"/>
                <w:color w:val="auto"/>
              </w:rPr>
              <w:t>1.52</w:t>
            </w:r>
          </w:p>
        </w:tc>
        <w:tc>
          <w:tcPr>
            <w:tcW w:w="280" w:type="dxa"/>
            <w:vAlign w:val="bottom"/>
            <w:shd w:val="clear" w:color="auto" w:fill="CCFFCC"/>
          </w:tcPr>
          <w:p>
            <w:pPr>
              <w:spacing w:after="0"/>
              <w:rPr>
                <w:sz w:val="12"/>
                <w:szCs w:val="12"/>
                <w:color w:val="auto"/>
              </w:rPr>
            </w:pPr>
          </w:p>
        </w:tc>
        <w:tc>
          <w:tcPr>
            <w:tcW w:w="420" w:type="dxa"/>
            <w:vAlign w:val="bottom"/>
            <w:shd w:val="clear" w:color="auto" w:fill="CCFFCC"/>
          </w:tcPr>
          <w:p>
            <w:pPr>
              <w:spacing w:after="0"/>
              <w:rPr>
                <w:sz w:val="12"/>
                <w:szCs w:val="12"/>
                <w:color w:val="auto"/>
              </w:rPr>
            </w:pPr>
          </w:p>
        </w:tc>
        <w:tc>
          <w:tcPr>
            <w:tcW w:w="760" w:type="dxa"/>
            <w:vAlign w:val="bottom"/>
            <w:shd w:val="clear" w:color="auto" w:fill="CCFFCC"/>
          </w:tcPr>
          <w:p>
            <w:pPr>
              <w:jc w:val="right"/>
              <w:spacing w:after="0" w:line="148" w:lineRule="exact"/>
              <w:rPr>
                <w:sz w:val="20"/>
                <w:szCs w:val="20"/>
                <w:color w:val="auto"/>
              </w:rPr>
            </w:pPr>
            <w:r>
              <w:rPr>
                <w:rFonts w:ascii="Arial" w:cs="Arial" w:eastAsia="Arial" w:hAnsi="Arial"/>
                <w:sz w:val="16"/>
                <w:szCs w:val="16"/>
                <w:b w:val="1"/>
                <w:bCs w:val="1"/>
                <w:color w:val="auto"/>
              </w:rPr>
              <w:t>1.52</w:t>
            </w:r>
          </w:p>
        </w:tc>
        <w:tc>
          <w:tcPr>
            <w:tcW w:w="200" w:type="dxa"/>
            <w:vAlign w:val="bottom"/>
            <w:shd w:val="clear" w:color="auto" w:fill="CCFFCC"/>
          </w:tcPr>
          <w:p>
            <w:pPr>
              <w:spacing w:after="0"/>
              <w:rPr>
                <w:sz w:val="12"/>
                <w:szCs w:val="12"/>
                <w:color w:val="auto"/>
              </w:rPr>
            </w:pPr>
          </w:p>
        </w:tc>
        <w:tc>
          <w:tcPr>
            <w:tcW w:w="1180" w:type="dxa"/>
            <w:vAlign w:val="bottom"/>
            <w:shd w:val="clear" w:color="auto" w:fill="CCFFCC"/>
          </w:tcPr>
          <w:p>
            <w:pPr>
              <w:spacing w:after="0"/>
              <w:rPr>
                <w:sz w:val="12"/>
                <w:szCs w:val="12"/>
                <w:color w:val="auto"/>
              </w:rPr>
            </w:pPr>
          </w:p>
        </w:tc>
        <w:tc>
          <w:tcPr>
            <w:tcW w:w="142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220" w:type="dxa"/>
            <w:vAlign w:val="bottom"/>
            <w:gridSpan w:val="3"/>
            <w:shd w:val="clear" w:color="auto" w:fill="CCFFCC"/>
          </w:tcPr>
          <w:p>
            <w:pPr>
              <w:ind w:left="20"/>
              <w:spacing w:after="0" w:line="189" w:lineRule="exact"/>
              <w:rPr>
                <w:sz w:val="20"/>
                <w:szCs w:val="20"/>
                <w:color w:val="auto"/>
              </w:rPr>
            </w:pPr>
            <w:r>
              <w:rPr>
                <w:rFonts w:ascii="Arial" w:cs="Arial" w:eastAsia="Arial" w:hAnsi="Arial"/>
                <w:sz w:val="16"/>
                <w:szCs w:val="16"/>
                <w:b w:val="1"/>
                <w:bCs w:val="1"/>
                <w:color w:val="auto"/>
              </w:rPr>
              <w:t>Excess tax benefit on stock vesting</w:t>
            </w:r>
            <w:r>
              <w:rPr>
                <w:rFonts w:ascii="Arial" w:cs="Arial" w:eastAsia="Arial" w:hAnsi="Arial"/>
                <w:sz w:val="21"/>
                <w:szCs w:val="21"/>
                <w:b w:val="1"/>
                <w:bCs w:val="1"/>
                <w:color w:val="auto"/>
                <w:vertAlign w:val="superscript"/>
              </w:rPr>
              <w:t>(2)</w:t>
            </w:r>
          </w:p>
        </w:tc>
        <w:tc>
          <w:tcPr>
            <w:tcW w:w="1160" w:type="dxa"/>
            <w:vAlign w:val="bottom"/>
            <w:shd w:val="clear" w:color="auto" w:fill="CCFFCC"/>
          </w:tcPr>
          <w:p>
            <w:pPr>
              <w:jc w:val="right"/>
              <w:spacing w:after="0"/>
              <w:rPr>
                <w:sz w:val="20"/>
                <w:szCs w:val="20"/>
                <w:color w:val="auto"/>
              </w:rPr>
            </w:pPr>
            <w:r>
              <w:rPr>
                <w:rFonts w:ascii="Arial" w:cs="Arial" w:eastAsia="Arial" w:hAnsi="Arial"/>
                <w:sz w:val="16"/>
                <w:szCs w:val="16"/>
                <w:b w:val="1"/>
                <w:bCs w:val="1"/>
                <w:color w:val="auto"/>
              </w:rPr>
              <w:t>(0.06)</w:t>
            </w:r>
          </w:p>
        </w:tc>
        <w:tc>
          <w:tcPr>
            <w:tcW w:w="280" w:type="dxa"/>
            <w:vAlign w:val="bottom"/>
            <w:shd w:val="clear" w:color="auto" w:fill="CCFFCC"/>
          </w:tcPr>
          <w:p>
            <w:pPr>
              <w:spacing w:after="0"/>
              <w:rPr>
                <w:sz w:val="16"/>
                <w:szCs w:val="16"/>
                <w:color w:val="auto"/>
              </w:rPr>
            </w:pPr>
          </w:p>
        </w:tc>
        <w:tc>
          <w:tcPr>
            <w:tcW w:w="420" w:type="dxa"/>
            <w:vAlign w:val="bottom"/>
            <w:shd w:val="clear" w:color="auto" w:fill="CCFFCC"/>
          </w:tcPr>
          <w:p>
            <w:pPr>
              <w:spacing w:after="0"/>
              <w:rPr>
                <w:sz w:val="16"/>
                <w:szCs w:val="16"/>
                <w:color w:val="auto"/>
              </w:rPr>
            </w:pPr>
          </w:p>
        </w:tc>
        <w:tc>
          <w:tcPr>
            <w:tcW w:w="760" w:type="dxa"/>
            <w:vAlign w:val="bottom"/>
            <w:shd w:val="clear" w:color="auto" w:fill="CCFFCC"/>
          </w:tcPr>
          <w:p>
            <w:pPr>
              <w:jc w:val="right"/>
              <w:spacing w:after="0"/>
              <w:rPr>
                <w:sz w:val="20"/>
                <w:szCs w:val="20"/>
                <w:color w:val="auto"/>
              </w:rPr>
            </w:pPr>
            <w:r>
              <w:rPr>
                <w:rFonts w:ascii="Arial" w:cs="Arial" w:eastAsia="Arial" w:hAnsi="Arial"/>
                <w:sz w:val="16"/>
                <w:szCs w:val="16"/>
                <w:b w:val="1"/>
                <w:bCs w:val="1"/>
                <w:color w:val="auto"/>
              </w:rPr>
              <w:t>(0.06)</w:t>
            </w:r>
          </w:p>
        </w:tc>
        <w:tc>
          <w:tcPr>
            <w:tcW w:w="200" w:type="dxa"/>
            <w:vAlign w:val="bottom"/>
            <w:shd w:val="clear" w:color="auto" w:fill="CCFFCC"/>
          </w:tcPr>
          <w:p>
            <w:pPr>
              <w:spacing w:after="0"/>
              <w:rPr>
                <w:sz w:val="16"/>
                <w:szCs w:val="16"/>
                <w:color w:val="auto"/>
              </w:rPr>
            </w:pPr>
          </w:p>
        </w:tc>
        <w:tc>
          <w:tcPr>
            <w:tcW w:w="1180" w:type="dxa"/>
            <w:vAlign w:val="bottom"/>
            <w:shd w:val="clear" w:color="auto" w:fill="CCFFCC"/>
          </w:tcPr>
          <w:p>
            <w:pPr>
              <w:spacing w:after="0"/>
              <w:rPr>
                <w:sz w:val="16"/>
                <w:szCs w:val="16"/>
                <w:color w:val="auto"/>
              </w:rPr>
            </w:pPr>
          </w:p>
        </w:tc>
        <w:tc>
          <w:tcPr>
            <w:tcW w:w="1420" w:type="dxa"/>
            <w:vAlign w:val="bottom"/>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220" w:type="dxa"/>
            <w:vAlign w:val="bottom"/>
            <w:gridSpan w:val="3"/>
            <w:shd w:val="clear" w:color="auto" w:fill="CCFFCC"/>
          </w:tcPr>
          <w:p>
            <w:pPr>
              <w:ind w:left="20"/>
              <w:spacing w:after="0" w:line="203" w:lineRule="exact"/>
              <w:rPr>
                <w:sz w:val="20"/>
                <w:szCs w:val="20"/>
                <w:color w:val="auto"/>
              </w:rPr>
            </w:pPr>
            <w:r>
              <w:rPr>
                <w:rFonts w:ascii="Arial" w:cs="Arial" w:eastAsia="Arial" w:hAnsi="Arial"/>
                <w:sz w:val="16"/>
                <w:szCs w:val="16"/>
                <w:b w:val="1"/>
                <w:bCs w:val="1"/>
                <w:color w:val="auto"/>
              </w:rPr>
              <w:t>Unusual health insurance claim</w:t>
            </w:r>
            <w:r>
              <w:rPr>
                <w:rFonts w:ascii="Arial" w:cs="Arial" w:eastAsia="Arial" w:hAnsi="Arial"/>
                <w:sz w:val="21"/>
                <w:szCs w:val="21"/>
                <w:b w:val="1"/>
                <w:bCs w:val="1"/>
                <w:color w:val="auto"/>
                <w:vertAlign w:val="superscript"/>
              </w:rPr>
              <w:t>(3)</w:t>
            </w:r>
          </w:p>
        </w:tc>
        <w:tc>
          <w:tcPr>
            <w:tcW w:w="1160" w:type="dxa"/>
            <w:vAlign w:val="bottom"/>
            <w:shd w:val="clear" w:color="auto" w:fill="CCFFCC"/>
          </w:tcPr>
          <w:p>
            <w:pPr>
              <w:jc w:val="right"/>
              <w:spacing w:after="0"/>
              <w:rPr>
                <w:sz w:val="20"/>
                <w:szCs w:val="20"/>
                <w:color w:val="auto"/>
              </w:rPr>
            </w:pPr>
            <w:r>
              <w:rPr>
                <w:rFonts w:ascii="Arial" w:cs="Arial" w:eastAsia="Arial" w:hAnsi="Arial"/>
                <w:sz w:val="16"/>
                <w:szCs w:val="16"/>
                <w:b w:val="1"/>
                <w:bCs w:val="1"/>
                <w:color w:val="auto"/>
              </w:rPr>
              <w:t>0.02</w:t>
            </w:r>
          </w:p>
        </w:tc>
        <w:tc>
          <w:tcPr>
            <w:tcW w:w="280" w:type="dxa"/>
            <w:vAlign w:val="bottom"/>
            <w:shd w:val="clear" w:color="auto" w:fill="CCFFCC"/>
          </w:tcPr>
          <w:p>
            <w:pPr>
              <w:spacing w:after="0"/>
              <w:rPr>
                <w:sz w:val="17"/>
                <w:szCs w:val="17"/>
                <w:color w:val="auto"/>
              </w:rPr>
            </w:pPr>
          </w:p>
        </w:tc>
        <w:tc>
          <w:tcPr>
            <w:tcW w:w="420" w:type="dxa"/>
            <w:vAlign w:val="bottom"/>
            <w:shd w:val="clear" w:color="auto" w:fill="CCFFCC"/>
          </w:tcPr>
          <w:p>
            <w:pPr>
              <w:spacing w:after="0"/>
              <w:rPr>
                <w:sz w:val="17"/>
                <w:szCs w:val="17"/>
                <w:color w:val="auto"/>
              </w:rPr>
            </w:pPr>
          </w:p>
        </w:tc>
        <w:tc>
          <w:tcPr>
            <w:tcW w:w="760" w:type="dxa"/>
            <w:vAlign w:val="bottom"/>
            <w:shd w:val="clear" w:color="auto" w:fill="CCFFCC"/>
          </w:tcPr>
          <w:p>
            <w:pPr>
              <w:jc w:val="right"/>
              <w:spacing w:after="0"/>
              <w:rPr>
                <w:sz w:val="20"/>
                <w:szCs w:val="20"/>
                <w:color w:val="auto"/>
              </w:rPr>
            </w:pPr>
            <w:r>
              <w:rPr>
                <w:rFonts w:ascii="Arial" w:cs="Arial" w:eastAsia="Arial" w:hAnsi="Arial"/>
                <w:sz w:val="16"/>
                <w:szCs w:val="16"/>
                <w:b w:val="1"/>
                <w:bCs w:val="1"/>
                <w:color w:val="auto"/>
              </w:rPr>
              <w:t>0.02</w:t>
            </w:r>
          </w:p>
        </w:tc>
        <w:tc>
          <w:tcPr>
            <w:tcW w:w="200" w:type="dxa"/>
            <w:vAlign w:val="bottom"/>
            <w:shd w:val="clear" w:color="auto" w:fill="CCFFCC"/>
          </w:tcPr>
          <w:p>
            <w:pPr>
              <w:spacing w:after="0"/>
              <w:rPr>
                <w:sz w:val="17"/>
                <w:szCs w:val="17"/>
                <w:color w:val="auto"/>
              </w:rPr>
            </w:pPr>
          </w:p>
        </w:tc>
        <w:tc>
          <w:tcPr>
            <w:tcW w:w="1180" w:type="dxa"/>
            <w:vAlign w:val="bottom"/>
            <w:shd w:val="clear" w:color="auto" w:fill="CCFFCC"/>
          </w:tcPr>
          <w:p>
            <w:pPr>
              <w:spacing w:after="0"/>
              <w:rPr>
                <w:sz w:val="17"/>
                <w:szCs w:val="17"/>
                <w:color w:val="auto"/>
              </w:rPr>
            </w:pPr>
          </w:p>
        </w:tc>
        <w:tc>
          <w:tcPr>
            <w:tcW w:w="142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Borders>
              <w:bottom w:val="single" w:sz="8" w:color="CCFFCC"/>
            </w:tcBorders>
            <w:gridSpan w:val="3"/>
            <w:shd w:val="clear" w:color="auto" w:fill="CCFFCC"/>
          </w:tcPr>
          <w:p>
            <w:pPr>
              <w:ind w:left="20"/>
              <w:spacing w:after="0" w:line="216" w:lineRule="exact"/>
              <w:rPr>
                <w:sz w:val="20"/>
                <w:szCs w:val="20"/>
                <w:color w:val="auto"/>
              </w:rPr>
            </w:pPr>
            <w:r>
              <w:rPr>
                <w:rFonts w:ascii="Arial" w:cs="Arial" w:eastAsia="Arial" w:hAnsi="Arial"/>
                <w:sz w:val="16"/>
                <w:szCs w:val="16"/>
                <w:b w:val="1"/>
                <w:bCs w:val="1"/>
                <w:color w:val="auto"/>
              </w:rPr>
              <w:t>Restructuring expense</w:t>
            </w:r>
            <w:r>
              <w:rPr>
                <w:rFonts w:ascii="Arial" w:cs="Arial" w:eastAsia="Arial" w:hAnsi="Arial"/>
                <w:sz w:val="21"/>
                <w:szCs w:val="21"/>
                <w:b w:val="1"/>
                <w:bCs w:val="1"/>
                <w:color w:val="auto"/>
                <w:vertAlign w:val="superscript"/>
              </w:rPr>
              <w:t>(4)</w:t>
            </w:r>
          </w:p>
        </w:tc>
        <w:tc>
          <w:tcPr>
            <w:tcW w:w="11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b w:val="1"/>
                <w:bCs w:val="1"/>
                <w:color w:val="auto"/>
              </w:rPr>
              <w:t>0.04</w:t>
            </w:r>
          </w:p>
        </w:tc>
        <w:tc>
          <w:tcPr>
            <w:tcW w:w="280" w:type="dxa"/>
            <w:vAlign w:val="bottom"/>
            <w:tcBorders>
              <w:bottom w:val="single" w:sz="8" w:color="CCFFCC"/>
            </w:tcBorders>
            <w:shd w:val="clear" w:color="auto" w:fill="CCFFCC"/>
          </w:tcPr>
          <w:p>
            <w:pPr>
              <w:spacing w:after="0"/>
              <w:rPr>
                <w:sz w:val="18"/>
                <w:szCs w:val="18"/>
                <w:color w:val="auto"/>
              </w:rPr>
            </w:pPr>
          </w:p>
        </w:tc>
        <w:tc>
          <w:tcPr>
            <w:tcW w:w="420" w:type="dxa"/>
            <w:vAlign w:val="bottom"/>
            <w:tcBorders>
              <w:bottom w:val="single" w:sz="8" w:color="auto"/>
            </w:tcBorders>
            <w:shd w:val="clear" w:color="auto" w:fill="CCFFCC"/>
          </w:tcPr>
          <w:p>
            <w:pPr>
              <w:spacing w:after="0"/>
              <w:rPr>
                <w:sz w:val="18"/>
                <w:szCs w:val="18"/>
                <w:color w:val="auto"/>
              </w:rPr>
            </w:pPr>
          </w:p>
        </w:tc>
        <w:tc>
          <w:tcPr>
            <w:tcW w:w="7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b w:val="1"/>
                <w:bCs w:val="1"/>
                <w:color w:val="auto"/>
              </w:rPr>
              <w:t>0.04</w:t>
            </w:r>
          </w:p>
        </w:tc>
        <w:tc>
          <w:tcPr>
            <w:tcW w:w="200" w:type="dxa"/>
            <w:vAlign w:val="bottom"/>
            <w:tcBorders>
              <w:bottom w:val="single" w:sz="8" w:color="CCFFCC"/>
            </w:tcBorders>
            <w:shd w:val="clear" w:color="auto" w:fill="CCFFCC"/>
          </w:tcPr>
          <w:p>
            <w:pPr>
              <w:spacing w:after="0"/>
              <w:rPr>
                <w:sz w:val="18"/>
                <w:szCs w:val="18"/>
                <w:color w:val="auto"/>
              </w:rPr>
            </w:pPr>
          </w:p>
        </w:tc>
        <w:tc>
          <w:tcPr>
            <w:tcW w:w="1180" w:type="dxa"/>
            <w:vAlign w:val="bottom"/>
            <w:tcBorders>
              <w:bottom w:val="single" w:sz="8" w:color="CCFFCC"/>
            </w:tcBorders>
            <w:shd w:val="clear" w:color="auto" w:fill="CCFFCC"/>
          </w:tcPr>
          <w:p>
            <w:pPr>
              <w:spacing w:after="0"/>
              <w:rPr>
                <w:sz w:val="18"/>
                <w:szCs w:val="18"/>
                <w:color w:val="auto"/>
              </w:rPr>
            </w:pPr>
          </w:p>
        </w:tc>
        <w:tc>
          <w:tcPr>
            <w:tcW w:w="1420" w:type="dxa"/>
            <w:vAlign w:val="bottom"/>
            <w:tcBorders>
              <w:bottom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20" w:type="dxa"/>
            <w:vAlign w:val="bottom"/>
            <w:tcBorders>
              <w:bottom w:val="single" w:sz="8" w:color="CCFFCC"/>
            </w:tcBorders>
            <w:gridSpan w:val="3"/>
            <w:shd w:val="clear" w:color="auto" w:fill="CCFFCC"/>
          </w:tcPr>
          <w:p>
            <w:pPr>
              <w:spacing w:after="0" w:line="163" w:lineRule="exact"/>
              <w:rPr>
                <w:sz w:val="20"/>
                <w:szCs w:val="20"/>
                <w:color w:val="auto"/>
              </w:rPr>
            </w:pPr>
            <w:r>
              <w:rPr>
                <w:rFonts w:ascii="Arial" w:cs="Arial" w:eastAsia="Arial" w:hAnsi="Arial"/>
                <w:sz w:val="14"/>
                <w:szCs w:val="14"/>
                <w:b w:val="1"/>
                <w:bCs w:val="1"/>
                <w:color w:val="auto"/>
              </w:rPr>
              <w:t>Adjusted EPS</w:t>
            </w:r>
            <w:r>
              <w:rPr>
                <w:rFonts w:ascii="Arial" w:cs="Arial" w:eastAsia="Arial" w:hAnsi="Arial"/>
                <w:sz w:val="18"/>
                <w:szCs w:val="18"/>
                <w:b w:val="1"/>
                <w:bCs w:val="1"/>
                <w:color w:val="auto"/>
                <w:vertAlign w:val="superscript"/>
              </w:rPr>
              <w:t>(1)</w:t>
            </w:r>
          </w:p>
        </w:tc>
        <w:tc>
          <w:tcPr>
            <w:tcW w:w="1160" w:type="dxa"/>
            <w:vAlign w:val="bottom"/>
            <w:tcBorders>
              <w:bottom w:val="single" w:sz="8" w:color="auto"/>
            </w:tcBorders>
            <w:shd w:val="clear" w:color="auto" w:fill="CCFFCC"/>
          </w:tcPr>
          <w:p>
            <w:pPr>
              <w:jc w:val="right"/>
              <w:spacing w:after="0" w:line="169" w:lineRule="exact"/>
              <w:rPr>
                <w:sz w:val="20"/>
                <w:szCs w:val="20"/>
                <w:color w:val="auto"/>
              </w:rPr>
            </w:pPr>
            <w:r>
              <w:rPr>
                <w:rFonts w:ascii="Arial" w:cs="Arial" w:eastAsia="Arial" w:hAnsi="Arial"/>
                <w:sz w:val="16"/>
                <w:szCs w:val="16"/>
                <w:b w:val="1"/>
                <w:bCs w:val="1"/>
                <w:color w:val="auto"/>
              </w:rPr>
              <w:t>$4.95</w:t>
            </w:r>
          </w:p>
        </w:tc>
        <w:tc>
          <w:tcPr>
            <w:tcW w:w="280" w:type="dxa"/>
            <w:vAlign w:val="bottom"/>
            <w:tcBorders>
              <w:bottom w:val="single" w:sz="8" w:color="CCFFCC"/>
            </w:tcBorders>
            <w:shd w:val="clear" w:color="auto" w:fill="CCFFCC"/>
          </w:tcPr>
          <w:p>
            <w:pPr>
              <w:spacing w:after="0"/>
              <w:rPr>
                <w:sz w:val="19"/>
                <w:szCs w:val="19"/>
                <w:color w:val="auto"/>
              </w:rPr>
            </w:pPr>
          </w:p>
        </w:tc>
        <w:tc>
          <w:tcPr>
            <w:tcW w:w="420" w:type="dxa"/>
            <w:vAlign w:val="bottom"/>
            <w:tcBorders>
              <w:bottom w:val="single" w:sz="8" w:color="auto"/>
            </w:tcBorders>
            <w:shd w:val="clear" w:color="auto" w:fill="CCFFCC"/>
          </w:tcPr>
          <w:p>
            <w:pPr>
              <w:spacing w:after="0"/>
              <w:rPr>
                <w:sz w:val="19"/>
                <w:szCs w:val="19"/>
                <w:color w:val="auto"/>
              </w:rPr>
            </w:pPr>
          </w:p>
        </w:tc>
        <w:tc>
          <w:tcPr>
            <w:tcW w:w="760" w:type="dxa"/>
            <w:vAlign w:val="bottom"/>
            <w:tcBorders>
              <w:bottom w:val="single" w:sz="8" w:color="auto"/>
            </w:tcBorders>
            <w:shd w:val="clear" w:color="auto" w:fill="CCFFCC"/>
          </w:tcPr>
          <w:p>
            <w:pPr>
              <w:jc w:val="right"/>
              <w:spacing w:after="0" w:line="169" w:lineRule="exact"/>
              <w:rPr>
                <w:sz w:val="20"/>
                <w:szCs w:val="20"/>
                <w:color w:val="auto"/>
              </w:rPr>
            </w:pPr>
            <w:r>
              <w:rPr>
                <w:rFonts w:ascii="Arial" w:cs="Arial" w:eastAsia="Arial" w:hAnsi="Arial"/>
                <w:sz w:val="16"/>
                <w:szCs w:val="16"/>
                <w:b w:val="1"/>
                <w:bCs w:val="1"/>
                <w:color w:val="auto"/>
              </w:rPr>
              <w:t>$4.97</w:t>
            </w:r>
          </w:p>
        </w:tc>
        <w:tc>
          <w:tcPr>
            <w:tcW w:w="200" w:type="dxa"/>
            <w:vAlign w:val="bottom"/>
            <w:tcBorders>
              <w:bottom w:val="single" w:sz="8" w:color="CCFFCC"/>
            </w:tcBorders>
            <w:shd w:val="clear" w:color="auto" w:fill="CCFFCC"/>
          </w:tcPr>
          <w:p>
            <w:pPr>
              <w:spacing w:after="0"/>
              <w:rPr>
                <w:sz w:val="19"/>
                <w:szCs w:val="19"/>
                <w:color w:val="auto"/>
              </w:rPr>
            </w:pPr>
          </w:p>
        </w:tc>
        <w:tc>
          <w:tcPr>
            <w:tcW w:w="1180" w:type="dxa"/>
            <w:vAlign w:val="bottom"/>
            <w:tcBorders>
              <w:bottom w:val="single" w:sz="8" w:color="CCFFCC"/>
            </w:tcBorders>
            <w:shd w:val="clear" w:color="auto" w:fill="CCFFCC"/>
          </w:tcPr>
          <w:p>
            <w:pPr>
              <w:jc w:val="center"/>
              <w:spacing w:after="0" w:line="169" w:lineRule="exact"/>
              <w:rPr>
                <w:sz w:val="20"/>
                <w:szCs w:val="20"/>
                <w:color w:val="auto"/>
              </w:rPr>
            </w:pPr>
            <w:r>
              <w:rPr>
                <w:rFonts w:ascii="Arial" w:cs="Arial" w:eastAsia="Arial" w:hAnsi="Arial"/>
                <w:sz w:val="16"/>
                <w:szCs w:val="16"/>
                <w:b w:val="1"/>
                <w:bCs w:val="1"/>
                <w:color w:val="auto"/>
              </w:rPr>
              <w:t>5%</w:t>
            </w:r>
          </w:p>
        </w:tc>
        <w:tc>
          <w:tcPr>
            <w:tcW w:w="1420" w:type="dxa"/>
            <w:vAlign w:val="bottom"/>
            <w:tcBorders>
              <w:bottom w:val="single" w:sz="8" w:color="CCFFCC"/>
            </w:tcBorders>
            <w:shd w:val="clear" w:color="auto" w:fill="CCFFCC"/>
          </w:tcPr>
          <w:p>
            <w:pPr>
              <w:jc w:val="center"/>
              <w:ind w:left="179"/>
              <w:spacing w:after="0" w:line="169" w:lineRule="exact"/>
              <w:rPr>
                <w:sz w:val="20"/>
                <w:szCs w:val="20"/>
                <w:color w:val="auto"/>
              </w:rPr>
            </w:pPr>
            <w:r>
              <w:rPr>
                <w:rFonts w:ascii="Arial" w:cs="Arial" w:eastAsia="Arial" w:hAnsi="Arial"/>
                <w:sz w:val="16"/>
                <w:szCs w:val="16"/>
                <w:b w:val="1"/>
                <w:bCs w:val="1"/>
                <w:color w:val="auto"/>
              </w:rPr>
              <w:t>5%</w:t>
            </w: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420" w:right="2480" w:hanging="129"/>
        <w:spacing w:after="0" w:line="247" w:lineRule="auto"/>
        <w:tabs>
          <w:tab w:leader="none" w:pos="444" w:val="left"/>
        </w:tabs>
        <w:numPr>
          <w:ilvl w:val="0"/>
          <w:numId w:val="11"/>
        </w:numPr>
        <w:rPr>
          <w:rFonts w:ascii="Arial" w:cs="Arial" w:eastAsia="Arial" w:hAnsi="Arial"/>
          <w:sz w:val="18"/>
          <w:szCs w:val="18"/>
          <w:color w:val="auto"/>
          <w:vertAlign w:val="superscript"/>
        </w:rPr>
      </w:pPr>
      <w:r>
        <w:rPr>
          <w:rFonts w:ascii="Arial" w:cs="Arial" w:eastAsia="Arial" w:hAnsi="Arial"/>
          <w:sz w:val="14"/>
          <w:szCs w:val="14"/>
          <w:color w:val="auto"/>
        </w:rPr>
        <w:t>Adjusted operating margin and adjusted EPS are non-GAAP measures that exclude the impact of equity-based compensation, expense related to an unusual health insurance claim, restructuring expense, and the related income tax effects, if applicable.</w:t>
      </w:r>
    </w:p>
    <w:p>
      <w:pPr>
        <w:ind w:left="440" w:hanging="149"/>
        <w:spacing w:after="0" w:line="219" w:lineRule="auto"/>
        <w:tabs>
          <w:tab w:leader="none" w:pos="440" w:val="left"/>
        </w:tabs>
        <w:numPr>
          <w:ilvl w:val="0"/>
          <w:numId w:val="11"/>
        </w:numPr>
        <w:rPr>
          <w:rFonts w:ascii="Arial" w:cs="Arial" w:eastAsia="Arial" w:hAnsi="Arial"/>
          <w:sz w:val="18"/>
          <w:szCs w:val="18"/>
          <w:color w:val="auto"/>
          <w:vertAlign w:val="superscript"/>
        </w:rPr>
      </w:pPr>
      <w:r>
        <w:rPr>
          <w:rFonts w:ascii="Arial" w:cs="Arial" w:eastAsia="Arial" w:hAnsi="Arial"/>
          <w:sz w:val="14"/>
          <w:szCs w:val="14"/>
          <w:color w:val="auto"/>
        </w:rPr>
        <w:t>The Company expects the excess tax benefit on stock vesting to occur primarily in the first quarter of 2025.</w:t>
      </w:r>
    </w:p>
    <w:p>
      <w:pPr>
        <w:spacing w:after="0" w:line="12" w:lineRule="exact"/>
        <w:rPr>
          <w:rFonts w:ascii="Arial" w:cs="Arial" w:eastAsia="Arial" w:hAnsi="Arial"/>
          <w:sz w:val="18"/>
          <w:szCs w:val="18"/>
          <w:color w:val="auto"/>
          <w:vertAlign w:val="superscript"/>
        </w:rPr>
      </w:pPr>
    </w:p>
    <w:p>
      <w:pPr>
        <w:ind w:left="300" w:right="280" w:hanging="9"/>
        <w:spacing w:after="0" w:line="211" w:lineRule="auto"/>
        <w:tabs>
          <w:tab w:leader="none" w:pos="444" w:val="left"/>
        </w:tabs>
        <w:numPr>
          <w:ilvl w:val="0"/>
          <w:numId w:val="11"/>
        </w:numPr>
        <w:rPr>
          <w:rFonts w:ascii="Arial" w:cs="Arial" w:eastAsia="Arial" w:hAnsi="Arial"/>
          <w:sz w:val="18"/>
          <w:szCs w:val="18"/>
          <w:color w:val="auto"/>
          <w:vertAlign w:val="superscript"/>
        </w:rPr>
      </w:pPr>
      <w:r>
        <w:rPr>
          <w:rFonts w:ascii="Arial" w:cs="Arial" w:eastAsia="Arial" w:hAnsi="Arial"/>
          <w:sz w:val="14"/>
          <w:szCs w:val="14"/>
          <w:color w:val="auto"/>
        </w:rPr>
        <w:t>Adjustment represents expense for an unusual health insurance claim, net of insurance recoveries. Based on the uncommonly large magnitude and nature of the claim, we do not believe that this expense reflects our normal operating activities, and we have excluded the amount from adjusted non-GAAP results.</w:t>
      </w:r>
    </w:p>
    <w:p>
      <w:pPr>
        <w:ind w:left="300" w:right="200" w:hanging="9"/>
        <w:spacing w:after="0" w:line="220" w:lineRule="auto"/>
        <w:tabs>
          <w:tab w:leader="none" w:pos="444" w:val="left"/>
        </w:tabs>
        <w:numPr>
          <w:ilvl w:val="0"/>
          <w:numId w:val="11"/>
        </w:numPr>
        <w:rPr>
          <w:rFonts w:ascii="Arial" w:cs="Arial" w:eastAsia="Arial" w:hAnsi="Arial"/>
          <w:sz w:val="18"/>
          <w:szCs w:val="18"/>
          <w:color w:val="auto"/>
          <w:vertAlign w:val="superscript"/>
        </w:rPr>
      </w:pPr>
      <w:r>
        <w:rPr>
          <w:rFonts w:ascii="Arial" w:cs="Arial" w:eastAsia="Arial" w:hAnsi="Arial"/>
          <w:sz w:val="14"/>
          <w:szCs w:val="14"/>
          <w:color w:val="auto"/>
        </w:rPr>
        <w:t>In January 2025, the Company eliminated about 100 positions to align our services capacity with customer demand, which has been impacted by macro-economic uncertainty. We recorded a pre-tax restructuring expense in 2025 and exclude the amount from adjusted non-GAAP results.</w:t>
      </w:r>
    </w:p>
    <w:p>
      <w:pPr>
        <w:spacing w:after="0" w:line="379" w:lineRule="exact"/>
        <w:rPr>
          <w:sz w:val="20"/>
          <w:szCs w:val="20"/>
          <w:color w:val="auto"/>
        </w:rPr>
      </w:pPr>
    </w:p>
    <w:p>
      <w:pPr>
        <w:jc w:val="both"/>
        <w:ind w:left="760" w:right="840"/>
        <w:spacing w:after="0" w:line="260" w:lineRule="auto"/>
        <w:rPr>
          <w:sz w:val="20"/>
          <w:szCs w:val="20"/>
          <w:color w:val="auto"/>
        </w:rPr>
      </w:pPr>
      <w:r>
        <w:rPr>
          <w:rFonts w:ascii="Arial" w:cs="Arial" w:eastAsia="Arial" w:hAnsi="Arial"/>
          <w:sz w:val="19"/>
          <w:szCs w:val="19"/>
          <w:color w:val="auto"/>
        </w:rPr>
        <w:t>Manhattan Associates currently intends to make public certain expectations with respect to future financial performance. Those statements, including the guidance provided above, are forward looking. Actual results may differ materially. See our cautionary note regarding “forward-looking statements” below.</w:t>
      </w:r>
    </w:p>
    <w:p>
      <w:pPr>
        <w:spacing w:after="0" w:line="154" w:lineRule="exact"/>
        <w:rPr>
          <w:sz w:val="20"/>
          <w:szCs w:val="20"/>
          <w:color w:val="auto"/>
        </w:rPr>
      </w:pPr>
    </w:p>
    <w:p>
      <w:pPr>
        <w:ind w:left="760" w:right="500"/>
        <w:spacing w:after="0" w:line="234" w:lineRule="auto"/>
        <w:rPr>
          <w:sz w:val="20"/>
          <w:szCs w:val="20"/>
          <w:color w:val="auto"/>
        </w:rPr>
      </w:pPr>
      <w:r>
        <w:rPr>
          <w:rFonts w:ascii="Arial" w:cs="Arial" w:eastAsia="Arial" w:hAnsi="Arial"/>
          <w:sz w:val="20"/>
          <w:szCs w:val="20"/>
          <w:color w:val="auto"/>
        </w:rPr>
        <w:t>Manhattan Associates will make this earnings release and a recording of the conference call referenced below available on the investor relations section of the Manhattan Associates website at ir.manh.com. Following publication of this earnings release, any expectations with respect to future financial performance contained in this release or the conference call, including the guidance, should be considered historical only, and Manhattan Associates disclaims any obligation to update them.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1235075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485140</wp:posOffset>
            </wp:positionH>
            <wp:positionV relativeFrom="paragraph">
              <wp:posOffset>124460</wp:posOffset>
            </wp:positionV>
            <wp:extent cx="6172200" cy="643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a:extLst>
                        <a:ext uri="{28A0092B-C50C-407E-A947-70E740481C1C}"/>
                      </a:extLst>
                    </a:blip>
                    <a:srcRect/>
                    <a:stretch>
                      <a:fillRect/>
                    </a:stretch>
                  </pic:blipFill>
                  <pic:spPr bwMode="auto">
                    <a:xfrm>
                      <a:off x="0" y="0"/>
                      <a:ext cx="6172200" cy="643255"/>
                    </a:xfrm>
                    <a:prstGeom prst="rect">
                      <a:avLst/>
                    </a:prstGeom>
                    <a:noFill/>
                  </pic:spPr>
                </pic:pic>
              </a:graphicData>
            </a:graphic>
          </wp:anchor>
        </w:drawing>
      </w:r>
    </w:p>
    <w:p>
      <w:pPr>
        <w:sectPr>
          <w:pgSz w:w="11900" w:h="16838" w:orient="portrait"/>
          <w:cols w:equalWidth="0" w:num="1">
            <w:col w:w="10960"/>
          </w:cols>
          <w:pgMar w:left="320" w:top="1425" w:right="619" w:bottom="1440" w:gutter="0" w:footer="0" w:header="0"/>
        </w:sectPr>
      </w:pPr>
    </w:p>
    <w:bookmarkStart w:id="8" w:name="page9"/>
    <w:bookmarkEnd w:id="8"/>
    <w:p>
      <w:pPr>
        <w:spacing w:after="0"/>
        <w:rPr>
          <w:sz w:val="20"/>
          <w:szCs w:val="20"/>
          <w:color w:val="auto"/>
        </w:rPr>
      </w:pPr>
      <w:r>
        <w:rPr>
          <w:rFonts w:ascii="Arial" w:cs="Arial" w:eastAsia="Arial" w:hAnsi="Arial"/>
          <w:sz w:val="20"/>
          <w:szCs w:val="20"/>
          <w:b w:val="1"/>
          <w:bCs w:val="1"/>
          <w:color w:val="auto"/>
        </w:rPr>
        <w:t>CONFERENCE CALL</w:t>
      </w:r>
    </w:p>
    <w:p>
      <w:pPr>
        <w:spacing w:after="0" w:line="204" w:lineRule="exact"/>
        <w:rPr>
          <w:sz w:val="20"/>
          <w:szCs w:val="20"/>
          <w:color w:val="auto"/>
        </w:rPr>
      </w:pPr>
    </w:p>
    <w:p>
      <w:pPr>
        <w:spacing w:after="0" w:line="232" w:lineRule="auto"/>
        <w:rPr>
          <w:sz w:val="20"/>
          <w:szCs w:val="20"/>
          <w:color w:val="auto"/>
        </w:rPr>
      </w:pPr>
      <w:r>
        <w:rPr>
          <w:rFonts w:ascii="Arial" w:cs="Arial" w:eastAsia="Arial" w:hAnsi="Arial"/>
          <w:sz w:val="20"/>
          <w:szCs w:val="20"/>
          <w:color w:val="auto"/>
        </w:rPr>
        <w:t>Manhattan Associates’ conference call regarding its third quarter financial results will be held today, October 21, 2025, at 4:30 p.m. Eastern Time. The Company will also discuss its business and expectations for the year and next quarter in additional detail during the call. We invite investors to a live webcast of the conference call through the Investor Relations section of the Manhattan Associates website at ir.manh.com. To listen to the live webcast, please go to the website at least 15 minutes before the call to download and install any necessary audio software. The Internet webcast will be available until Manhattan Associates’ fourth quarter 2025 earnings release.</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GAAP VERSUS NON-GAAP PRESENTATION</w:t>
      </w:r>
    </w:p>
    <w:p>
      <w:pPr>
        <w:spacing w:after="0" w:line="204" w:lineRule="exact"/>
        <w:rPr>
          <w:sz w:val="20"/>
          <w:szCs w:val="20"/>
          <w:color w:val="auto"/>
        </w:rPr>
      </w:pPr>
    </w:p>
    <w:p>
      <w:pPr>
        <w:ind w:right="20"/>
        <w:spacing w:after="0" w:line="230" w:lineRule="auto"/>
        <w:rPr>
          <w:sz w:val="20"/>
          <w:szCs w:val="20"/>
          <w:color w:val="auto"/>
        </w:rPr>
      </w:pPr>
      <w:r>
        <w:rPr>
          <w:rFonts w:ascii="Arial" w:cs="Arial" w:eastAsia="Arial" w:hAnsi="Arial"/>
          <w:sz w:val="20"/>
          <w:szCs w:val="20"/>
          <w:color w:val="auto"/>
        </w:rPr>
        <w:t>Manhattan Associates provides adjusted operating income and margin, adjusted income tax provision, adjusted net income, and adjusted diluted earnings per share in this press release as additional information regarding the Company’s historical and projected operating results. These measures are not in accordance with, or alternatives to, GAAP, and may be different from similarly titled non-GAAP measures used by other companies. The Company believes the presentation of these non-GAAP financial measures facilitates investors’ ability to understand and compare the Company’s results and guidance, because the measures provide supplemental information in evaluating the operating results of its business, as distinct from results that include items not indicative of ongoing operating results, and because the Company believes its peers typically publish similar non-GAAP measures. This release should be read in conjunction with the Company’s Form 8-K earnings release filing for the three and nine months ended September 30, 2025.</w:t>
      </w:r>
    </w:p>
    <w:p>
      <w:pPr>
        <w:spacing w:after="0" w:line="172" w:lineRule="exact"/>
        <w:rPr>
          <w:sz w:val="20"/>
          <w:szCs w:val="20"/>
          <w:color w:val="auto"/>
        </w:rPr>
      </w:pPr>
    </w:p>
    <w:p>
      <w:pPr>
        <w:ind w:right="220"/>
        <w:spacing w:after="0" w:line="232" w:lineRule="auto"/>
        <w:rPr>
          <w:sz w:val="20"/>
          <w:szCs w:val="20"/>
          <w:color w:val="auto"/>
        </w:rPr>
      </w:pPr>
      <w:r>
        <w:rPr>
          <w:rFonts w:ascii="Arial" w:cs="Arial" w:eastAsia="Arial" w:hAnsi="Arial"/>
          <w:sz w:val="20"/>
          <w:szCs w:val="20"/>
          <w:color w:val="auto"/>
        </w:rPr>
        <w:t>Non-GAAP adjusted operating income and margin, adjusted income tax provision, adjusted net income, and adjusted diluted earnings per share exclude the impact of equity-based compensation, an expense related to an unusual health insurance claim, and restructuring expense – net of income tax effects, collectively. They also exclude the tax benefits or deficiencies of vested stock awards caused by differences in the amount deductible for tax purposes from the compensation expense recorded for financial reporting purposes. We include reconciliations of the Company’s GAAP financial measures to non-GAAP adjustments in the supplemental information attached to this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1233170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122555</wp:posOffset>
            </wp:positionV>
            <wp:extent cx="6172200" cy="643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a:extLst>
                        <a:ext uri="{28A0092B-C50C-407E-A947-70E740481C1C}"/>
                      </a:extLst>
                    </a:blip>
                    <a:srcRect/>
                    <a:stretch>
                      <a:fillRect/>
                    </a:stretch>
                  </pic:blipFill>
                  <pic:spPr bwMode="auto">
                    <a:xfrm>
                      <a:off x="0" y="0"/>
                      <a:ext cx="6172200" cy="643255"/>
                    </a:xfrm>
                    <a:prstGeom prst="rect">
                      <a:avLst/>
                    </a:prstGeom>
                    <a:noFill/>
                  </pic:spPr>
                </pic:pic>
              </a:graphicData>
            </a:graphic>
          </wp:anchor>
        </w:drawing>
      </w:r>
    </w:p>
    <w:p>
      <w:pPr>
        <w:sectPr>
          <w:pgSz w:w="11900" w:h="16838" w:orient="portrait"/>
          <w:cols w:equalWidth="0" w:num="1">
            <w:col w:w="9720"/>
          </w:cols>
          <w:pgMar w:left="1080" w:top="1209" w:right="1099" w:bottom="1440" w:gutter="0" w:footer="0" w:header="0"/>
        </w:sectPr>
      </w:pPr>
    </w:p>
    <w:bookmarkStart w:id="9" w:name="page10"/>
    <w:bookmarkEnd w:id="9"/>
    <w:p>
      <w:pPr>
        <w:spacing w:after="0"/>
        <w:rPr>
          <w:sz w:val="20"/>
          <w:szCs w:val="20"/>
          <w:color w:val="auto"/>
        </w:rPr>
      </w:pPr>
      <w:r>
        <w:rPr>
          <w:rFonts w:ascii="Arial" w:cs="Arial" w:eastAsia="Arial" w:hAnsi="Arial"/>
          <w:sz w:val="20"/>
          <w:szCs w:val="20"/>
          <w:b w:val="1"/>
          <w:bCs w:val="1"/>
          <w:color w:val="auto"/>
        </w:rPr>
        <w:t>ABOUT MANHATTAN ASSOCIATES</w:t>
      </w:r>
    </w:p>
    <w:p>
      <w:pPr>
        <w:spacing w:after="0" w:line="204" w:lineRule="exact"/>
        <w:rPr>
          <w:sz w:val="20"/>
          <w:szCs w:val="20"/>
          <w:color w:val="auto"/>
        </w:rPr>
      </w:pPr>
    </w:p>
    <w:p>
      <w:pPr>
        <w:ind w:right="440"/>
        <w:spacing w:after="0" w:line="237" w:lineRule="auto"/>
        <w:rPr>
          <w:sz w:val="20"/>
          <w:szCs w:val="20"/>
          <w:color w:val="auto"/>
        </w:rPr>
      </w:pPr>
      <w:r>
        <w:rPr>
          <w:rFonts w:ascii="Arial" w:cs="Arial" w:eastAsia="Arial" w:hAnsi="Arial"/>
          <w:sz w:val="20"/>
          <w:szCs w:val="20"/>
          <w:color w:val="auto"/>
        </w:rPr>
        <w:t>Manhattan Associates is a global technology leader in supply chain and omnichannel commerce. We unite information across the enterprise, converging front-end sales with back-end supply chain execution. Our software, platform technology, and unmatched experience help drive both top-line growth and bottom-line profitability for our customers.</w:t>
      </w:r>
    </w:p>
    <w:p>
      <w:pPr>
        <w:spacing w:after="0" w:line="172" w:lineRule="exact"/>
        <w:rPr>
          <w:sz w:val="20"/>
          <w:szCs w:val="20"/>
          <w:color w:val="auto"/>
        </w:rPr>
      </w:pPr>
    </w:p>
    <w:p>
      <w:pPr>
        <w:ind w:right="400"/>
        <w:spacing w:after="0" w:line="241" w:lineRule="auto"/>
        <w:rPr>
          <w:sz w:val="20"/>
          <w:szCs w:val="20"/>
          <w:color w:val="auto"/>
        </w:rPr>
      </w:pPr>
      <w:r>
        <w:rPr>
          <w:rFonts w:ascii="Arial" w:cs="Arial" w:eastAsia="Arial" w:hAnsi="Arial"/>
          <w:sz w:val="20"/>
          <w:szCs w:val="20"/>
          <w:color w:val="auto"/>
        </w:rPr>
        <w:t>Manhattan Associates designs, builds, and delivers leading edge cloud solutions so that across the store, through your network, or from your fulfillment center, you are ready to reap the rewards of the omnichannel marketplace. For more information, please visit www.manh.com.</w:t>
      </w:r>
    </w:p>
    <w:p>
      <w:pPr>
        <w:spacing w:after="0" w:line="181" w:lineRule="exact"/>
        <w:rPr>
          <w:sz w:val="20"/>
          <w:szCs w:val="20"/>
          <w:color w:val="auto"/>
        </w:rPr>
      </w:pPr>
    </w:p>
    <w:p>
      <w:pPr>
        <w:spacing w:after="0" w:line="249" w:lineRule="auto"/>
        <w:rPr>
          <w:sz w:val="20"/>
          <w:szCs w:val="20"/>
          <w:color w:val="auto"/>
        </w:rPr>
      </w:pPr>
      <w:r>
        <w:rPr>
          <w:rFonts w:ascii="Arial" w:cs="Arial" w:eastAsia="Arial" w:hAnsi="Arial"/>
          <w:sz w:val="16"/>
          <w:szCs w:val="16"/>
          <w:i w:val="1"/>
          <w:iCs w:val="1"/>
          <w:color w:val="auto"/>
        </w:rPr>
        <w:t>This press release contains “forward-looking statements” relating to Manhattan Associates, Inc. Forward-looking statements in this press release include, without limitation, the information set forth under “2025 Guidance” and statements identified by words such as “may,” “expect,” “forecast,” “anticipate,” “intend,” “plan,” “believe,” “could,” “seek,” “project,” “estimate,” and similar expressions. Prospective investors are cautioned that any of those forward-looking statements are not guarantees of future performance and involve risks and uncertainties, and that actual results may differ materially from those contemplated by those forward-looking statements. Among the important factors that could cause actual results to differ materially from those indicated by those forward-looking statements are: economic conditions, including disruption and transformation in the retail sector and our vertical markets; delays in product development; competitive and pricing pressures; software errors and information technology failures, disruption and security breaches; risks related to our products’ technology and customer implementations; global instability, including the wars in Ukraine and the Middle East; and the other risk factors set forth in Item 1A of the Company’s Annual Report on Form 10-K for the year ended December 31, 2024, and in Item 1A of Part II in subsequent Quarterly Reports on Form 10-Q. Manhattan Associates undertakes no obligation to update or revise forward-looking statements to reflect changed assumptions, the occurrence of unanticipated events or changes in future operating results.</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i w:val="1"/>
          <w:i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1407795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297180</wp:posOffset>
            </wp:positionV>
            <wp:extent cx="6172200" cy="643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1">
                      <a:extLst>
                        <a:ext uri="{28A0092B-C50C-407E-A947-70E740481C1C}"/>
                      </a:extLst>
                    </a:blip>
                    <a:srcRect/>
                    <a:stretch>
                      <a:fillRect/>
                    </a:stretch>
                  </pic:blipFill>
                  <pic:spPr bwMode="auto">
                    <a:xfrm>
                      <a:off x="0" y="0"/>
                      <a:ext cx="6172200" cy="643255"/>
                    </a:xfrm>
                    <a:prstGeom prst="rect">
                      <a:avLst/>
                    </a:prstGeom>
                    <a:noFill/>
                  </pic:spPr>
                </pic:pic>
              </a:graphicData>
            </a:graphic>
          </wp:anchor>
        </w:drawing>
      </w:r>
    </w:p>
    <w:p>
      <w:pPr>
        <w:sectPr>
          <w:pgSz w:w="11900" w:h="16838" w:orient="portrait"/>
          <w:cols w:equalWidth="0" w:num="1">
            <w:col w:w="9740"/>
          </w:cols>
          <w:pgMar w:left="1080" w:top="1209" w:right="107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MANHATTAN ASSOCIATES,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740" w:type="dxa"/>
            <w:vAlign w:val="bottom"/>
          </w:tcPr>
          <w:p>
            <w:pPr>
              <w:spacing w:after="0"/>
              <w:rPr>
                <w:sz w:val="15"/>
                <w:szCs w:val="15"/>
                <w:color w:val="auto"/>
              </w:rPr>
            </w:pPr>
          </w:p>
        </w:tc>
        <w:tc>
          <w:tcPr>
            <w:tcW w:w="3160" w:type="dxa"/>
            <w:vAlign w:val="bottom"/>
            <w:tcBorders>
              <w:bottom w:val="single" w:sz="8" w:color="auto"/>
            </w:tcBorders>
            <w:gridSpan w:val="3"/>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60" w:type="dxa"/>
            <w:vAlign w:val="bottom"/>
          </w:tcPr>
          <w:p>
            <w:pPr>
              <w:spacing w:after="0"/>
              <w:rPr>
                <w:sz w:val="15"/>
                <w:szCs w:val="15"/>
                <w:color w:val="auto"/>
              </w:rPr>
            </w:pPr>
          </w:p>
        </w:tc>
        <w:tc>
          <w:tcPr>
            <w:tcW w:w="3180" w:type="dxa"/>
            <w:vAlign w:val="bottom"/>
            <w:tcBorders>
              <w:bottom w:val="single" w:sz="8" w:color="auto"/>
            </w:tcBorders>
            <w:gridSpan w:val="3"/>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42"/>
        </w:trPr>
        <w:tc>
          <w:tcPr>
            <w:tcW w:w="4740" w:type="dxa"/>
            <w:vAlign w:val="bottom"/>
          </w:tcPr>
          <w:p>
            <w:pPr>
              <w:spacing w:after="0"/>
              <w:rPr>
                <w:sz w:val="12"/>
                <w:szCs w:val="12"/>
                <w:color w:val="auto"/>
              </w:rPr>
            </w:pPr>
          </w:p>
        </w:tc>
        <w:tc>
          <w:tcPr>
            <w:tcW w:w="1500" w:type="dxa"/>
            <w:vAlign w:val="bottom"/>
          </w:tcPr>
          <w:p>
            <w:pPr>
              <w:jc w:val="right"/>
              <w:ind w:right="51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60" w:type="dxa"/>
            <w:vAlign w:val="bottom"/>
            <w:gridSpan w:val="2"/>
          </w:tcPr>
          <w:p>
            <w:pPr>
              <w:jc w:val="right"/>
              <w:ind w:right="51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2"/>
                <w:szCs w:val="12"/>
                <w:color w:val="auto"/>
              </w:rPr>
            </w:pPr>
          </w:p>
        </w:tc>
        <w:tc>
          <w:tcPr>
            <w:tcW w:w="1480" w:type="dxa"/>
            <w:vAlign w:val="bottom"/>
          </w:tcPr>
          <w:p>
            <w:pPr>
              <w:jc w:val="right"/>
              <w:ind w:right="51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700" w:type="dxa"/>
            <w:vAlign w:val="bottom"/>
            <w:gridSpan w:val="2"/>
          </w:tcPr>
          <w:p>
            <w:pPr>
              <w:jc w:val="right"/>
              <w:ind w:right="51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142"/>
        </w:trPr>
        <w:tc>
          <w:tcPr>
            <w:tcW w:w="4740" w:type="dxa"/>
            <w:vAlign w:val="bottom"/>
          </w:tcPr>
          <w:p>
            <w:pPr>
              <w:spacing w:after="0"/>
              <w:rPr>
                <w:sz w:val="12"/>
                <w:szCs w:val="12"/>
                <w:color w:val="auto"/>
              </w:rPr>
            </w:pPr>
          </w:p>
        </w:tc>
        <w:tc>
          <w:tcPr>
            <w:tcW w:w="1500" w:type="dxa"/>
            <w:vAlign w:val="bottom"/>
            <w:tcBorders>
              <w:top w:val="single" w:sz="8" w:color="auto"/>
            </w:tcBorders>
          </w:tcPr>
          <w:p>
            <w:pPr>
              <w:jc w:val="right"/>
              <w:ind w:right="312"/>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60" w:type="dxa"/>
            <w:vAlign w:val="bottom"/>
          </w:tcPr>
          <w:p>
            <w:pPr>
              <w:spacing w:after="0"/>
              <w:rPr>
                <w:sz w:val="12"/>
                <w:szCs w:val="12"/>
                <w:color w:val="auto"/>
              </w:rPr>
            </w:pPr>
          </w:p>
        </w:tc>
        <w:tc>
          <w:tcPr>
            <w:tcW w:w="1500" w:type="dxa"/>
            <w:vAlign w:val="bottom"/>
            <w:tcBorders>
              <w:top w:val="single" w:sz="8" w:color="auto"/>
            </w:tcBorders>
          </w:tcPr>
          <w:p>
            <w:pPr>
              <w:jc w:val="right"/>
              <w:ind w:right="313"/>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60" w:type="dxa"/>
            <w:vAlign w:val="bottom"/>
          </w:tcPr>
          <w:p>
            <w:pPr>
              <w:spacing w:after="0"/>
              <w:rPr>
                <w:sz w:val="12"/>
                <w:szCs w:val="12"/>
                <w:color w:val="auto"/>
              </w:rPr>
            </w:pPr>
          </w:p>
        </w:tc>
        <w:tc>
          <w:tcPr>
            <w:tcW w:w="1480" w:type="dxa"/>
            <w:vAlign w:val="bottom"/>
            <w:tcBorders>
              <w:top w:val="single" w:sz="8" w:color="auto"/>
            </w:tcBorders>
          </w:tcPr>
          <w:p>
            <w:pPr>
              <w:jc w:val="right"/>
              <w:ind w:right="316"/>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220" w:type="dxa"/>
            <w:vAlign w:val="bottom"/>
          </w:tcPr>
          <w:p>
            <w:pPr>
              <w:spacing w:after="0"/>
              <w:rPr>
                <w:sz w:val="12"/>
                <w:szCs w:val="12"/>
                <w:color w:val="auto"/>
              </w:rPr>
            </w:pPr>
          </w:p>
        </w:tc>
        <w:tc>
          <w:tcPr>
            <w:tcW w:w="1480" w:type="dxa"/>
            <w:vAlign w:val="bottom"/>
            <w:tcBorders>
              <w:top w:val="single" w:sz="8" w:color="auto"/>
            </w:tcBorders>
          </w:tcPr>
          <w:p>
            <w:pPr>
              <w:jc w:val="right"/>
              <w:ind w:right="293"/>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r>
      <w:tr>
        <w:trPr>
          <w:trHeight w:val="216"/>
        </w:trPr>
        <w:tc>
          <w:tcPr>
            <w:tcW w:w="47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Revenue:</w:t>
            </w:r>
          </w:p>
        </w:tc>
        <w:tc>
          <w:tcPr>
            <w:tcW w:w="15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5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4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480" w:type="dxa"/>
            <w:vAlign w:val="bottom"/>
            <w:shd w:val="clear" w:color="auto" w:fill="CCFFCC"/>
          </w:tcPr>
          <w:p>
            <w:pPr>
              <w:spacing w:after="0"/>
              <w:rPr>
                <w:sz w:val="18"/>
                <w:szCs w:val="18"/>
                <w:color w:val="auto"/>
              </w:rPr>
            </w:pPr>
          </w:p>
        </w:tc>
      </w:tr>
      <w:tr>
        <w:trPr>
          <w:trHeight w:val="216"/>
        </w:trPr>
        <w:tc>
          <w:tcPr>
            <w:tcW w:w="4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Cloud subscriptions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$104,852</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$86,485</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$299,580</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$246,873</w:t>
            </w:r>
          </w:p>
        </w:tc>
      </w:tr>
      <w:tr>
        <w:trPr>
          <w:trHeight w:val="216"/>
        </w:trPr>
        <w:tc>
          <w:tcPr>
            <w:tcW w:w="4740" w:type="dxa"/>
            <w:vAlign w:val="bottom"/>
            <w:shd w:val="clear" w:color="auto" w:fill="CCFFCC"/>
          </w:tcPr>
          <w:p>
            <w:pPr>
              <w:ind w:left="100"/>
              <w:spacing w:after="0"/>
              <w:rPr>
                <w:sz w:val="20"/>
                <w:szCs w:val="20"/>
                <w:color w:val="auto"/>
              </w:rPr>
            </w:pPr>
            <w:r>
              <w:rPr>
                <w:rFonts w:ascii="Times New Roman" w:cs="Times New Roman" w:eastAsia="Times New Roman" w:hAnsi="Times New Roman"/>
                <w:sz w:val="18"/>
                <w:szCs w:val="18"/>
                <w:color w:val="auto"/>
              </w:rPr>
              <w:t>Software license</w:t>
            </w:r>
          </w:p>
        </w:tc>
        <w:tc>
          <w:tcPr>
            <w:tcW w:w="15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1,356</w:t>
            </w:r>
          </w:p>
        </w:tc>
        <w:tc>
          <w:tcPr>
            <w:tcW w:w="166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3,762</w:t>
            </w:r>
          </w:p>
        </w:tc>
        <w:tc>
          <w:tcPr>
            <w:tcW w:w="164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12,176</w:t>
            </w:r>
          </w:p>
        </w:tc>
        <w:tc>
          <w:tcPr>
            <w:tcW w:w="17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9,633</w:t>
            </w:r>
          </w:p>
        </w:tc>
      </w:tr>
      <w:tr>
        <w:trPr>
          <w:trHeight w:val="216"/>
        </w:trPr>
        <w:tc>
          <w:tcPr>
            <w:tcW w:w="4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Maintenance</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30,492</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34,491</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97,693</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104,736</w:t>
            </w:r>
          </w:p>
        </w:tc>
      </w:tr>
      <w:tr>
        <w:trPr>
          <w:trHeight w:val="216"/>
        </w:trPr>
        <w:tc>
          <w:tcPr>
            <w:tcW w:w="4740" w:type="dxa"/>
            <w:vAlign w:val="bottom"/>
            <w:shd w:val="clear" w:color="auto" w:fill="CCFFCC"/>
          </w:tcPr>
          <w:p>
            <w:pPr>
              <w:ind w:left="100"/>
              <w:spacing w:after="0"/>
              <w:rPr>
                <w:sz w:val="20"/>
                <w:szCs w:val="20"/>
                <w:color w:val="auto"/>
              </w:rPr>
            </w:pPr>
            <w:r>
              <w:rPr>
                <w:rFonts w:ascii="Times New Roman" w:cs="Times New Roman" w:eastAsia="Times New Roman" w:hAnsi="Times New Roman"/>
                <w:sz w:val="18"/>
                <w:szCs w:val="18"/>
                <w:color w:val="auto"/>
              </w:rPr>
              <w:t>Services</w:t>
            </w:r>
          </w:p>
        </w:tc>
        <w:tc>
          <w:tcPr>
            <w:tcW w:w="15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133,007</w:t>
            </w:r>
          </w:p>
        </w:tc>
        <w:tc>
          <w:tcPr>
            <w:tcW w:w="166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137,009</w:t>
            </w:r>
          </w:p>
        </w:tc>
        <w:tc>
          <w:tcPr>
            <w:tcW w:w="164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383,033</w:t>
            </w:r>
          </w:p>
        </w:tc>
        <w:tc>
          <w:tcPr>
            <w:tcW w:w="17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406,035</w:t>
            </w:r>
          </w:p>
        </w:tc>
      </w:tr>
      <w:tr>
        <w:trPr>
          <w:trHeight w:val="216"/>
        </w:trPr>
        <w:tc>
          <w:tcPr>
            <w:tcW w:w="4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Hardware</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6,088</w:t>
            </w:r>
          </w:p>
        </w:tc>
        <w:tc>
          <w:tcPr>
            <w:tcW w:w="160" w:type="dxa"/>
            <w:vAlign w:val="bottom"/>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4,934</w:t>
            </w:r>
          </w:p>
        </w:tc>
        <w:tc>
          <w:tcPr>
            <w:tcW w:w="160" w:type="dxa"/>
            <w:vAlign w:val="bottom"/>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18,521</w:t>
            </w:r>
          </w:p>
        </w:tc>
        <w:tc>
          <w:tcPr>
            <w:tcW w:w="220" w:type="dxa"/>
            <w:vAlign w:val="bottom"/>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19,274</w:t>
            </w:r>
          </w:p>
        </w:tc>
      </w:tr>
      <w:tr>
        <w:trPr>
          <w:trHeight w:val="209"/>
        </w:trPr>
        <w:tc>
          <w:tcPr>
            <w:tcW w:w="4740" w:type="dxa"/>
            <w:vAlign w:val="bottom"/>
            <w:shd w:val="clear" w:color="auto" w:fill="CCFFCC"/>
          </w:tcPr>
          <w:p>
            <w:pPr>
              <w:ind w:left="100"/>
              <w:spacing w:after="0"/>
              <w:rPr>
                <w:sz w:val="20"/>
                <w:szCs w:val="20"/>
                <w:color w:val="auto"/>
              </w:rPr>
            </w:pPr>
            <w:r>
              <w:rPr>
                <w:rFonts w:ascii="Times New Roman" w:cs="Times New Roman" w:eastAsia="Times New Roman" w:hAnsi="Times New Roman"/>
                <w:sz w:val="18"/>
                <w:szCs w:val="18"/>
                <w:color w:val="auto"/>
              </w:rPr>
              <w:t>Total revenue</w:t>
            </w:r>
          </w:p>
        </w:tc>
        <w:tc>
          <w:tcPr>
            <w:tcW w:w="15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275,795</w:t>
            </w:r>
          </w:p>
        </w:tc>
        <w:tc>
          <w:tcPr>
            <w:tcW w:w="166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266,681</w:t>
            </w:r>
          </w:p>
        </w:tc>
        <w:tc>
          <w:tcPr>
            <w:tcW w:w="164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811,003</w:t>
            </w:r>
          </w:p>
        </w:tc>
        <w:tc>
          <w:tcPr>
            <w:tcW w:w="17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786,551</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6"/>
        </w:trPr>
        <w:tc>
          <w:tcPr>
            <w:tcW w:w="4740" w:type="dxa"/>
            <w:vAlign w:val="bottom"/>
            <w:shd w:val="clear" w:color="auto" w:fill="CCFFCC"/>
          </w:tcPr>
          <w:p>
            <w:pPr>
              <w:ind w:left="100"/>
              <w:spacing w:after="0"/>
              <w:rPr>
                <w:sz w:val="20"/>
                <w:szCs w:val="20"/>
                <w:color w:val="auto"/>
              </w:rPr>
            </w:pPr>
            <w:r>
              <w:rPr>
                <w:rFonts w:ascii="Times New Roman" w:cs="Times New Roman" w:eastAsia="Times New Roman" w:hAnsi="Times New Roman"/>
                <w:sz w:val="18"/>
                <w:szCs w:val="18"/>
                <w:color w:val="auto"/>
              </w:rPr>
              <w:t>Cost of cloud subscriptions, maintenance and services</w:t>
            </w:r>
          </w:p>
        </w:tc>
        <w:tc>
          <w:tcPr>
            <w:tcW w:w="15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119,604</w:t>
            </w:r>
          </w:p>
        </w:tc>
        <w:tc>
          <w:tcPr>
            <w:tcW w:w="166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118,269</w:t>
            </w:r>
          </w:p>
        </w:tc>
        <w:tc>
          <w:tcPr>
            <w:tcW w:w="164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349,883</w:t>
            </w:r>
          </w:p>
        </w:tc>
        <w:tc>
          <w:tcPr>
            <w:tcW w:w="17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356,920</w:t>
            </w:r>
          </w:p>
        </w:tc>
      </w:tr>
      <w:tr>
        <w:trPr>
          <w:trHeight w:val="216"/>
        </w:trPr>
        <w:tc>
          <w:tcPr>
            <w:tcW w:w="4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Cost of software license</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208</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711</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1,068</w:t>
            </w:r>
          </w:p>
        </w:tc>
      </w:tr>
      <w:tr>
        <w:trPr>
          <w:trHeight w:val="216"/>
        </w:trPr>
        <w:tc>
          <w:tcPr>
            <w:tcW w:w="4740" w:type="dxa"/>
            <w:vAlign w:val="bottom"/>
            <w:shd w:val="clear" w:color="auto" w:fill="CCFFCC"/>
          </w:tcPr>
          <w:p>
            <w:pPr>
              <w:ind w:left="1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5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36,360</w:t>
            </w:r>
          </w:p>
        </w:tc>
        <w:tc>
          <w:tcPr>
            <w:tcW w:w="166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34,349</w:t>
            </w:r>
          </w:p>
        </w:tc>
        <w:tc>
          <w:tcPr>
            <w:tcW w:w="164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106,529</w:t>
            </w:r>
          </w:p>
        </w:tc>
        <w:tc>
          <w:tcPr>
            <w:tcW w:w="17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104,693</w:t>
            </w:r>
          </w:p>
        </w:tc>
      </w:tr>
      <w:tr>
        <w:trPr>
          <w:trHeight w:val="216"/>
        </w:trPr>
        <w:tc>
          <w:tcPr>
            <w:tcW w:w="4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Sales and marketing</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18,057</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16,586</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59,097</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55,669</w:t>
            </w:r>
          </w:p>
        </w:tc>
      </w:tr>
      <w:tr>
        <w:trPr>
          <w:trHeight w:val="216"/>
        </w:trPr>
        <w:tc>
          <w:tcPr>
            <w:tcW w:w="4740" w:type="dxa"/>
            <w:vAlign w:val="bottom"/>
            <w:shd w:val="clear" w:color="auto" w:fill="CCFFCC"/>
          </w:tcPr>
          <w:p>
            <w:pPr>
              <w:ind w:left="1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5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24,078</w:t>
            </w:r>
          </w:p>
        </w:tc>
        <w:tc>
          <w:tcPr>
            <w:tcW w:w="166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20,308</w:t>
            </w:r>
          </w:p>
        </w:tc>
        <w:tc>
          <w:tcPr>
            <w:tcW w:w="164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74,273</w:t>
            </w:r>
          </w:p>
        </w:tc>
        <w:tc>
          <w:tcPr>
            <w:tcW w:w="17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62,623</w:t>
            </w:r>
          </w:p>
        </w:tc>
      </w:tr>
      <w:tr>
        <w:trPr>
          <w:trHeight w:val="216"/>
        </w:trPr>
        <w:tc>
          <w:tcPr>
            <w:tcW w:w="4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1,660</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1,688</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4,785</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4,670</w:t>
            </w:r>
          </w:p>
        </w:tc>
      </w:tr>
      <w:tr>
        <w:trPr>
          <w:trHeight w:val="216"/>
        </w:trPr>
        <w:tc>
          <w:tcPr>
            <w:tcW w:w="4740" w:type="dxa"/>
            <w:vAlign w:val="bottom"/>
            <w:tcBorders>
              <w:bottom w:val="single" w:sz="8" w:color="CCFFCC"/>
            </w:tcBorders>
            <w:shd w:val="clear" w:color="auto" w:fill="CCFFCC"/>
          </w:tcPr>
          <w:p>
            <w:pPr>
              <w:ind w:left="100"/>
              <w:spacing w:after="0"/>
              <w:rPr>
                <w:sz w:val="20"/>
                <w:szCs w:val="20"/>
                <w:color w:val="auto"/>
              </w:rPr>
            </w:pPr>
            <w:r>
              <w:rPr>
                <w:rFonts w:ascii="Times New Roman" w:cs="Times New Roman" w:eastAsia="Times New Roman" w:hAnsi="Times New Roman"/>
                <w:sz w:val="18"/>
                <w:szCs w:val="18"/>
                <w:color w:val="auto"/>
              </w:rPr>
              <w:t>Restructuring expense</w:t>
            </w:r>
          </w:p>
        </w:tc>
        <w:tc>
          <w:tcPr>
            <w:tcW w:w="150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Borders>
              <w:bottom w:val="single" w:sz="8" w:color="CCFFCC"/>
            </w:tcBorders>
            <w:shd w:val="clear" w:color="auto" w:fill="CCFFCC"/>
          </w:tcPr>
          <w:p>
            <w:pPr>
              <w:spacing w:after="0"/>
              <w:rPr>
                <w:sz w:val="18"/>
                <w:szCs w:val="18"/>
                <w:color w:val="auto"/>
              </w:rPr>
            </w:pPr>
          </w:p>
        </w:tc>
        <w:tc>
          <w:tcPr>
            <w:tcW w:w="150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FFCC"/>
            </w:tcBorders>
            <w:shd w:val="clear" w:color="auto" w:fill="CCFFCC"/>
          </w:tcPr>
          <w:p>
            <w:pPr>
              <w:spacing w:after="0"/>
              <w:rPr>
                <w:sz w:val="18"/>
                <w:szCs w:val="18"/>
                <w:color w:val="auto"/>
              </w:rPr>
            </w:pPr>
          </w:p>
        </w:tc>
        <w:tc>
          <w:tcPr>
            <w:tcW w:w="148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2,937</w:t>
            </w:r>
          </w:p>
        </w:tc>
        <w:tc>
          <w:tcPr>
            <w:tcW w:w="220" w:type="dxa"/>
            <w:vAlign w:val="bottom"/>
            <w:tcBorders>
              <w:bottom w:val="single" w:sz="8" w:color="CCFFCC"/>
            </w:tcBorders>
            <w:shd w:val="clear" w:color="auto" w:fill="CCFFCC"/>
          </w:tcPr>
          <w:p>
            <w:pPr>
              <w:spacing w:after="0"/>
              <w:rPr>
                <w:sz w:val="18"/>
                <w:szCs w:val="18"/>
                <w:color w:val="auto"/>
              </w:rPr>
            </w:pPr>
          </w:p>
        </w:tc>
        <w:tc>
          <w:tcPr>
            <w:tcW w:w="148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4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costs and expenses</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199,967</w:t>
            </w:r>
          </w:p>
        </w:tc>
        <w:tc>
          <w:tcPr>
            <w:tcW w:w="160" w:type="dxa"/>
            <w:vAlign w:val="bottom"/>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191,591</w:t>
            </w:r>
          </w:p>
        </w:tc>
        <w:tc>
          <w:tcPr>
            <w:tcW w:w="160" w:type="dxa"/>
            <w:vAlign w:val="bottom"/>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598,215</w:t>
            </w:r>
          </w:p>
        </w:tc>
        <w:tc>
          <w:tcPr>
            <w:tcW w:w="220" w:type="dxa"/>
            <w:vAlign w:val="bottom"/>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585,643</w:t>
            </w:r>
          </w:p>
        </w:tc>
      </w:tr>
      <w:tr>
        <w:trPr>
          <w:trHeight w:val="209"/>
        </w:trPr>
        <w:tc>
          <w:tcPr>
            <w:tcW w:w="47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5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75,828</w:t>
            </w:r>
          </w:p>
        </w:tc>
        <w:tc>
          <w:tcPr>
            <w:tcW w:w="166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75,090</w:t>
            </w:r>
          </w:p>
        </w:tc>
        <w:tc>
          <w:tcPr>
            <w:tcW w:w="164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212,788</w:t>
            </w:r>
          </w:p>
        </w:tc>
        <w:tc>
          <w:tcPr>
            <w:tcW w:w="17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200,908</w:t>
            </w:r>
          </w:p>
        </w:tc>
      </w:tr>
      <w:tr>
        <w:trPr>
          <w:trHeight w:val="216"/>
        </w:trPr>
        <w:tc>
          <w:tcPr>
            <w:tcW w:w="4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income, net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2,604</w:t>
            </w:r>
          </w:p>
        </w:tc>
        <w:tc>
          <w:tcPr>
            <w:tcW w:w="160" w:type="dxa"/>
            <w:vAlign w:val="bottom"/>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1,312</w:t>
            </w:r>
          </w:p>
        </w:tc>
        <w:tc>
          <w:tcPr>
            <w:tcW w:w="160" w:type="dxa"/>
            <w:vAlign w:val="bottom"/>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4,656</w:t>
            </w:r>
          </w:p>
        </w:tc>
        <w:tc>
          <w:tcPr>
            <w:tcW w:w="220" w:type="dxa"/>
            <w:vAlign w:val="bottom"/>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3,222</w:t>
            </w:r>
          </w:p>
        </w:tc>
      </w:tr>
      <w:tr>
        <w:trPr>
          <w:trHeight w:val="209"/>
        </w:trPr>
        <w:tc>
          <w:tcPr>
            <w:tcW w:w="47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5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78,432</w:t>
            </w:r>
          </w:p>
        </w:tc>
        <w:tc>
          <w:tcPr>
            <w:tcW w:w="166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76,402</w:t>
            </w:r>
          </w:p>
        </w:tc>
        <w:tc>
          <w:tcPr>
            <w:tcW w:w="164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217,444</w:t>
            </w:r>
          </w:p>
        </w:tc>
        <w:tc>
          <w:tcPr>
            <w:tcW w:w="17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204,130</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19,799</w:t>
            </w:r>
          </w:p>
        </w:tc>
        <w:tc>
          <w:tcPr>
            <w:tcW w:w="160" w:type="dxa"/>
            <w:vAlign w:val="bottom"/>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12,621</w:t>
            </w:r>
          </w:p>
        </w:tc>
        <w:tc>
          <w:tcPr>
            <w:tcW w:w="160" w:type="dxa"/>
            <w:vAlign w:val="bottom"/>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49,449</w:t>
            </w:r>
          </w:p>
        </w:tc>
        <w:tc>
          <w:tcPr>
            <w:tcW w:w="220" w:type="dxa"/>
            <w:vAlign w:val="bottom"/>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33,782</w:t>
            </w:r>
          </w:p>
        </w:tc>
      </w:tr>
      <w:tr>
        <w:trPr>
          <w:trHeight w:val="250"/>
        </w:trPr>
        <w:tc>
          <w:tcPr>
            <w:tcW w:w="4740" w:type="dxa"/>
            <w:vAlign w:val="bottom"/>
            <w:tcBorders>
              <w:bottom w:val="single" w:sz="8" w:color="CCFFCC"/>
            </w:tcBorders>
            <w:shd w:val="clear" w:color="auto" w:fill="CCFFCC"/>
          </w:tcPr>
          <w:p>
            <w:pPr>
              <w:spacing w:after="0"/>
              <w:rPr>
                <w:sz w:val="20"/>
                <w:szCs w:val="20"/>
                <w:color w:val="auto"/>
              </w:rPr>
            </w:pPr>
            <w:r>
              <w:rPr>
                <w:rFonts w:ascii="Times New Roman" w:cs="Times New Roman" w:eastAsia="Times New Roman" w:hAnsi="Times New Roman"/>
                <w:sz w:val="18"/>
                <w:szCs w:val="18"/>
                <w:color w:val="auto"/>
              </w:rPr>
              <w:t>Net income</w:t>
            </w:r>
          </w:p>
        </w:tc>
        <w:tc>
          <w:tcPr>
            <w:tcW w:w="150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$58,633</w:t>
            </w:r>
          </w:p>
        </w:tc>
        <w:tc>
          <w:tcPr>
            <w:tcW w:w="160" w:type="dxa"/>
            <w:vAlign w:val="bottom"/>
            <w:tcBorders>
              <w:bottom w:val="single" w:sz="8" w:color="CCFFCC"/>
            </w:tcBorders>
            <w:shd w:val="clear" w:color="auto" w:fill="CCFFCC"/>
          </w:tcPr>
          <w:p>
            <w:pPr>
              <w:spacing w:after="0"/>
              <w:rPr>
                <w:sz w:val="21"/>
                <w:szCs w:val="21"/>
                <w:color w:val="auto"/>
              </w:rPr>
            </w:pPr>
          </w:p>
        </w:tc>
        <w:tc>
          <w:tcPr>
            <w:tcW w:w="150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$63,781</w:t>
            </w:r>
          </w:p>
        </w:tc>
        <w:tc>
          <w:tcPr>
            <w:tcW w:w="160" w:type="dxa"/>
            <w:vAlign w:val="bottom"/>
            <w:tcBorders>
              <w:bottom w:val="single" w:sz="8" w:color="CCFFCC"/>
            </w:tcBorders>
            <w:shd w:val="clear" w:color="auto" w:fill="CCFFCC"/>
          </w:tcPr>
          <w:p>
            <w:pPr>
              <w:spacing w:after="0"/>
              <w:rPr>
                <w:sz w:val="21"/>
                <w:szCs w:val="21"/>
                <w:color w:val="auto"/>
              </w:rPr>
            </w:pPr>
          </w:p>
        </w:tc>
        <w:tc>
          <w:tcPr>
            <w:tcW w:w="148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$167,995</w:t>
            </w:r>
          </w:p>
        </w:tc>
        <w:tc>
          <w:tcPr>
            <w:tcW w:w="220" w:type="dxa"/>
            <w:vAlign w:val="bottom"/>
            <w:tcBorders>
              <w:bottom w:val="single" w:sz="8" w:color="CCFFCC"/>
            </w:tcBorders>
            <w:shd w:val="clear" w:color="auto" w:fill="CCFFCC"/>
          </w:tcPr>
          <w:p>
            <w:pPr>
              <w:spacing w:after="0"/>
              <w:rPr>
                <w:sz w:val="21"/>
                <w:szCs w:val="21"/>
                <w:color w:val="auto"/>
              </w:rPr>
            </w:pPr>
          </w:p>
        </w:tc>
        <w:tc>
          <w:tcPr>
            <w:tcW w:w="148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$170,348</w:t>
            </w:r>
          </w:p>
        </w:tc>
      </w:tr>
      <w:tr>
        <w:trPr>
          <w:trHeight w:val="413"/>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Basic earnings per share</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$0.97</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$2.77</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$2.77</w:t>
            </w:r>
          </w:p>
        </w:tc>
      </w:tr>
      <w:tr>
        <w:trPr>
          <w:trHeight w:val="216"/>
        </w:trPr>
        <w:tc>
          <w:tcPr>
            <w:tcW w:w="47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15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$0.96</w:t>
            </w:r>
          </w:p>
        </w:tc>
        <w:tc>
          <w:tcPr>
            <w:tcW w:w="166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64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$2.75</w:t>
            </w:r>
          </w:p>
        </w:tc>
        <w:tc>
          <w:tcPr>
            <w:tcW w:w="17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$2.74</w:t>
            </w:r>
          </w:p>
        </w:tc>
      </w:tr>
      <w:tr>
        <w:trPr>
          <w:trHeight w:val="432"/>
        </w:trPr>
        <w:tc>
          <w:tcPr>
            <w:tcW w:w="4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Weighted average number of shares:</w:t>
            </w:r>
          </w:p>
        </w:tc>
        <w:tc>
          <w:tcPr>
            <w:tcW w:w="1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16"/>
        </w:trPr>
        <w:tc>
          <w:tcPr>
            <w:tcW w:w="4740" w:type="dxa"/>
            <w:vAlign w:val="bottom"/>
            <w:shd w:val="clear" w:color="auto" w:fill="CCFFCC"/>
          </w:tcPr>
          <w:p>
            <w:pPr>
              <w:ind w:left="100"/>
              <w:spacing w:after="0"/>
              <w:rPr>
                <w:sz w:val="20"/>
                <w:szCs w:val="20"/>
                <w:color w:val="auto"/>
              </w:rPr>
            </w:pPr>
            <w:r>
              <w:rPr>
                <w:rFonts w:ascii="Times New Roman" w:cs="Times New Roman" w:eastAsia="Times New Roman" w:hAnsi="Times New Roman"/>
                <w:sz w:val="18"/>
                <w:szCs w:val="18"/>
                <w:color w:val="auto"/>
              </w:rPr>
              <w:t>Basic</w:t>
            </w:r>
          </w:p>
        </w:tc>
        <w:tc>
          <w:tcPr>
            <w:tcW w:w="15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60,381</w:t>
            </w:r>
          </w:p>
        </w:tc>
        <w:tc>
          <w:tcPr>
            <w:tcW w:w="166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61,169</w:t>
            </w:r>
          </w:p>
        </w:tc>
        <w:tc>
          <w:tcPr>
            <w:tcW w:w="164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60,620</w:t>
            </w:r>
          </w:p>
        </w:tc>
        <w:tc>
          <w:tcPr>
            <w:tcW w:w="17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61,404</w:t>
            </w:r>
          </w:p>
        </w:tc>
      </w:tr>
      <w:tr>
        <w:trPr>
          <w:trHeight w:val="238"/>
        </w:trPr>
        <w:tc>
          <w:tcPr>
            <w:tcW w:w="4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Diluted</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60,954</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61,948</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61,183</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62,186</w:t>
            </w:r>
          </w:p>
        </w:tc>
      </w:tr>
      <w:tr>
        <w:trPr>
          <w:trHeight w:val="1443"/>
        </w:trPr>
        <w:tc>
          <w:tcPr>
            <w:tcW w:w="474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-2785110</wp:posOffset>
            </wp:positionV>
            <wp:extent cx="10287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-2785110</wp:posOffset>
            </wp:positionV>
            <wp:extent cx="939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5">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-2785110</wp:posOffset>
            </wp:positionV>
            <wp:extent cx="13716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-1927860</wp:posOffset>
            </wp:positionV>
            <wp:extent cx="10287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-1910715</wp:posOffset>
            </wp:positionV>
            <wp:extent cx="10287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-1927860</wp:posOffset>
            </wp:positionV>
            <wp:extent cx="939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9">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-1910715</wp:posOffset>
            </wp:positionV>
            <wp:extent cx="939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0">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-1927860</wp:posOffset>
            </wp:positionV>
            <wp:extent cx="13716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-1910715</wp:posOffset>
            </wp:positionV>
            <wp:extent cx="13716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2">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Selected GAAP to Non-GAAP Measures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540" w:type="dxa"/>
            <w:vAlign w:val="bottom"/>
          </w:tcPr>
          <w:p>
            <w:pPr>
              <w:spacing w:after="0"/>
              <w:rPr>
                <w:sz w:val="15"/>
                <w:szCs w:val="15"/>
                <w:color w:val="auto"/>
              </w:rPr>
            </w:pPr>
          </w:p>
        </w:tc>
        <w:tc>
          <w:tcPr>
            <w:tcW w:w="3280" w:type="dxa"/>
            <w:vAlign w:val="bottom"/>
            <w:tcBorders>
              <w:bottom w:val="single" w:sz="8" w:color="auto"/>
            </w:tcBorders>
            <w:gridSpan w:val="3"/>
          </w:tcPr>
          <w:p>
            <w:pPr>
              <w:jc w:val="right"/>
              <w:ind w:right="43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80" w:type="dxa"/>
            <w:vAlign w:val="bottom"/>
          </w:tcPr>
          <w:p>
            <w:pPr>
              <w:spacing w:after="0"/>
              <w:rPr>
                <w:sz w:val="15"/>
                <w:szCs w:val="15"/>
                <w:color w:val="auto"/>
              </w:rPr>
            </w:pPr>
          </w:p>
        </w:tc>
        <w:tc>
          <w:tcPr>
            <w:tcW w:w="3240" w:type="dxa"/>
            <w:vAlign w:val="bottom"/>
            <w:tcBorders>
              <w:bottom w:val="single" w:sz="8" w:color="auto"/>
            </w:tcBorders>
            <w:gridSpan w:val="3"/>
          </w:tcPr>
          <w:p>
            <w:pPr>
              <w:jc w:val="right"/>
              <w:ind w:right="47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42"/>
        </w:trPr>
        <w:tc>
          <w:tcPr>
            <w:tcW w:w="4540" w:type="dxa"/>
            <w:vAlign w:val="bottom"/>
          </w:tcPr>
          <w:p>
            <w:pPr>
              <w:spacing w:after="0"/>
              <w:rPr>
                <w:sz w:val="12"/>
                <w:szCs w:val="12"/>
                <w:color w:val="auto"/>
              </w:rPr>
            </w:pPr>
          </w:p>
        </w:tc>
        <w:tc>
          <w:tcPr>
            <w:tcW w:w="1560" w:type="dxa"/>
            <w:vAlign w:val="bottom"/>
          </w:tcPr>
          <w:p>
            <w:pPr>
              <w:jc w:val="right"/>
              <w:ind w:right="55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720" w:type="dxa"/>
            <w:vAlign w:val="bottom"/>
            <w:gridSpan w:val="2"/>
          </w:tcPr>
          <w:p>
            <w:pPr>
              <w:jc w:val="right"/>
              <w:ind w:right="550"/>
              <w:spacing w:after="0" w:line="142" w:lineRule="exact"/>
              <w:rPr>
                <w:sz w:val="20"/>
                <w:szCs w:val="20"/>
                <w:color w:val="auto"/>
              </w:rPr>
            </w:pPr>
            <w:r>
              <w:rPr>
                <w:rFonts w:ascii="Times New Roman" w:cs="Times New Roman" w:eastAsia="Times New Roman" w:hAnsi="Times New Roman"/>
                <w:sz w:val="14"/>
                <w:szCs w:val="14"/>
                <w:color w:val="auto"/>
              </w:rPr>
              <w:t>2024</w:t>
            </w:r>
          </w:p>
        </w:tc>
        <w:tc>
          <w:tcPr>
            <w:tcW w:w="180" w:type="dxa"/>
            <w:vAlign w:val="bottom"/>
          </w:tcPr>
          <w:p>
            <w:pPr>
              <w:spacing w:after="0"/>
              <w:rPr>
                <w:sz w:val="12"/>
                <w:szCs w:val="12"/>
                <w:color w:val="auto"/>
              </w:rPr>
            </w:pPr>
          </w:p>
        </w:tc>
        <w:tc>
          <w:tcPr>
            <w:tcW w:w="1540" w:type="dxa"/>
            <w:vAlign w:val="bottom"/>
          </w:tcPr>
          <w:p>
            <w:pPr>
              <w:jc w:val="right"/>
              <w:ind w:right="55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700" w:type="dxa"/>
            <w:vAlign w:val="bottom"/>
            <w:gridSpan w:val="2"/>
          </w:tcPr>
          <w:p>
            <w:pPr>
              <w:jc w:val="right"/>
              <w:ind w:right="550"/>
              <w:spacing w:after="0" w:line="142" w:lineRule="exact"/>
              <w:rPr>
                <w:sz w:val="20"/>
                <w:szCs w:val="20"/>
                <w:color w:val="auto"/>
              </w:rPr>
            </w:pPr>
            <w:r>
              <w:rPr>
                <w:rFonts w:ascii="Times New Roman" w:cs="Times New Roman" w:eastAsia="Times New Roman" w:hAnsi="Times New Roman"/>
                <w:sz w:val="14"/>
                <w:szCs w:val="14"/>
                <w:color w:val="auto"/>
              </w:rPr>
              <w:t>2024</w:t>
            </w:r>
          </w:p>
        </w:tc>
      </w:tr>
      <w:tr>
        <w:trPr>
          <w:trHeight w:val="142"/>
        </w:trPr>
        <w:tc>
          <w:tcPr>
            <w:tcW w:w="4540" w:type="dxa"/>
            <w:vAlign w:val="bottom"/>
          </w:tcPr>
          <w:p>
            <w:pPr>
              <w:spacing w:after="0"/>
              <w:rPr>
                <w:sz w:val="12"/>
                <w:szCs w:val="12"/>
                <w:color w:val="auto"/>
              </w:rPr>
            </w:pPr>
          </w:p>
        </w:tc>
        <w:tc>
          <w:tcPr>
            <w:tcW w:w="15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54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5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540" w:type="dxa"/>
            <w:vAlign w:val="bottom"/>
            <w:tcBorders>
              <w:top w:val="single" w:sz="8" w:color="auto"/>
            </w:tcBorders>
          </w:tcPr>
          <w:p>
            <w:pPr>
              <w:spacing w:after="0"/>
              <w:rPr>
                <w:sz w:val="12"/>
                <w:szCs w:val="12"/>
                <w:color w:val="auto"/>
              </w:rPr>
            </w:pPr>
          </w:p>
        </w:tc>
      </w:tr>
      <w:tr>
        <w:trPr>
          <w:trHeight w:val="216"/>
        </w:trPr>
        <w:tc>
          <w:tcPr>
            <w:tcW w:w="45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5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$75,828</w:t>
            </w:r>
          </w:p>
        </w:tc>
        <w:tc>
          <w:tcPr>
            <w:tcW w:w="172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$75,090</w:t>
            </w:r>
          </w:p>
        </w:tc>
        <w:tc>
          <w:tcPr>
            <w:tcW w:w="172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$212,788</w:t>
            </w:r>
          </w:p>
        </w:tc>
        <w:tc>
          <w:tcPr>
            <w:tcW w:w="17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$200,908</w:t>
            </w:r>
          </w:p>
        </w:tc>
      </w:tr>
      <w:tr>
        <w:trPr>
          <w:trHeight w:val="216"/>
        </w:trPr>
        <w:tc>
          <w:tcPr>
            <w:tcW w:w="45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Equity-based compensation (a)</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27,577</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23,853</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80,678</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70,614</w:t>
            </w:r>
          </w:p>
        </w:tc>
      </w:tr>
      <w:tr>
        <w:trPr>
          <w:trHeight w:val="216"/>
        </w:trPr>
        <w:tc>
          <w:tcPr>
            <w:tcW w:w="4540" w:type="dxa"/>
            <w:vAlign w:val="bottom"/>
            <w:shd w:val="clear" w:color="auto" w:fill="CCFFCC"/>
          </w:tcPr>
          <w:p>
            <w:pPr>
              <w:ind w:left="80"/>
              <w:spacing w:after="0"/>
              <w:rPr>
                <w:sz w:val="20"/>
                <w:szCs w:val="20"/>
                <w:color w:val="auto"/>
              </w:rPr>
            </w:pPr>
            <w:r>
              <w:rPr>
                <w:rFonts w:ascii="Times New Roman" w:cs="Times New Roman" w:eastAsia="Times New Roman" w:hAnsi="Times New Roman"/>
                <w:sz w:val="18"/>
                <w:szCs w:val="18"/>
                <w:color w:val="auto"/>
              </w:rPr>
              <w:t>Unusual health insurance claim (c)</w:t>
            </w:r>
          </w:p>
        </w:tc>
        <w:tc>
          <w:tcPr>
            <w:tcW w:w="15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72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(658)</w:t>
            </w:r>
          </w:p>
        </w:tc>
        <w:tc>
          <w:tcPr>
            <w:tcW w:w="17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5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Restructuring expense (d)</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2,937</w:t>
            </w:r>
          </w:p>
        </w:tc>
        <w:tc>
          <w:tcPr>
            <w:tcW w:w="160" w:type="dxa"/>
            <w:vAlign w:val="bottom"/>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45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Adjusted operating income (Non-GAAP)</w:t>
            </w:r>
          </w:p>
        </w:tc>
        <w:tc>
          <w:tcPr>
            <w:tcW w:w="15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$103,405</w:t>
            </w:r>
          </w:p>
        </w:tc>
        <w:tc>
          <w:tcPr>
            <w:tcW w:w="172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$98,943</w:t>
            </w:r>
          </w:p>
        </w:tc>
        <w:tc>
          <w:tcPr>
            <w:tcW w:w="172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$295,745</w:t>
            </w:r>
          </w:p>
        </w:tc>
        <w:tc>
          <w:tcPr>
            <w:tcW w:w="17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$271,522</w:t>
            </w:r>
          </w:p>
        </w:tc>
      </w:tr>
      <w:tr>
        <w:trPr>
          <w:trHeight w:val="196"/>
        </w:trPr>
        <w:tc>
          <w:tcPr>
            <w:tcW w:w="4540" w:type="dxa"/>
            <w:vAlign w:val="bottom"/>
            <w:tcBorders>
              <w:top w:val="single" w:sz="8" w:color="CCFFCC"/>
            </w:tcBorders>
          </w:tcPr>
          <w:p>
            <w:pPr>
              <w:spacing w:after="0"/>
              <w:rPr>
                <w:sz w:val="17"/>
                <w:szCs w:val="17"/>
                <w:color w:val="auto"/>
              </w:rPr>
            </w:pPr>
          </w:p>
        </w:tc>
        <w:tc>
          <w:tcPr>
            <w:tcW w:w="1560" w:type="dxa"/>
            <w:vAlign w:val="bottom"/>
            <w:tcBorders>
              <w:top w:val="single" w:sz="8" w:color="auto"/>
            </w:tcBorders>
          </w:tcPr>
          <w:p>
            <w:pPr>
              <w:spacing w:after="0"/>
              <w:rPr>
                <w:sz w:val="17"/>
                <w:szCs w:val="17"/>
                <w:color w:val="auto"/>
              </w:rPr>
            </w:pPr>
          </w:p>
        </w:tc>
        <w:tc>
          <w:tcPr>
            <w:tcW w:w="180" w:type="dxa"/>
            <w:vAlign w:val="bottom"/>
            <w:tcBorders>
              <w:top w:val="single" w:sz="8" w:color="CCFFCC"/>
            </w:tcBorders>
          </w:tcPr>
          <w:p>
            <w:pPr>
              <w:spacing w:after="0"/>
              <w:rPr>
                <w:sz w:val="17"/>
                <w:szCs w:val="17"/>
                <w:color w:val="auto"/>
              </w:rPr>
            </w:pPr>
          </w:p>
        </w:tc>
        <w:tc>
          <w:tcPr>
            <w:tcW w:w="1540" w:type="dxa"/>
            <w:vAlign w:val="bottom"/>
            <w:tcBorders>
              <w:top w:val="single" w:sz="8" w:color="auto"/>
            </w:tcBorders>
          </w:tcPr>
          <w:p>
            <w:pPr>
              <w:spacing w:after="0"/>
              <w:rPr>
                <w:sz w:val="17"/>
                <w:szCs w:val="17"/>
                <w:color w:val="auto"/>
              </w:rPr>
            </w:pPr>
          </w:p>
        </w:tc>
        <w:tc>
          <w:tcPr>
            <w:tcW w:w="180" w:type="dxa"/>
            <w:vAlign w:val="bottom"/>
            <w:tcBorders>
              <w:top w:val="single" w:sz="8" w:color="CCFFCC"/>
            </w:tcBorders>
          </w:tcPr>
          <w:p>
            <w:pPr>
              <w:spacing w:after="0"/>
              <w:rPr>
                <w:sz w:val="17"/>
                <w:szCs w:val="17"/>
                <w:color w:val="auto"/>
              </w:rPr>
            </w:pPr>
          </w:p>
        </w:tc>
        <w:tc>
          <w:tcPr>
            <w:tcW w:w="1540" w:type="dxa"/>
            <w:vAlign w:val="bottom"/>
            <w:tcBorders>
              <w:top w:val="single" w:sz="8" w:color="auto"/>
            </w:tcBorders>
          </w:tcPr>
          <w:p>
            <w:pPr>
              <w:spacing w:after="0"/>
              <w:rPr>
                <w:sz w:val="17"/>
                <w:szCs w:val="17"/>
                <w:color w:val="auto"/>
              </w:rPr>
            </w:pPr>
          </w:p>
        </w:tc>
        <w:tc>
          <w:tcPr>
            <w:tcW w:w="160" w:type="dxa"/>
            <w:vAlign w:val="bottom"/>
            <w:tcBorders>
              <w:top w:val="single" w:sz="8" w:color="CCFFCC"/>
            </w:tcBorders>
          </w:tcPr>
          <w:p>
            <w:pPr>
              <w:spacing w:after="0"/>
              <w:rPr>
                <w:sz w:val="17"/>
                <w:szCs w:val="17"/>
                <w:color w:val="auto"/>
              </w:rPr>
            </w:pPr>
          </w:p>
        </w:tc>
        <w:tc>
          <w:tcPr>
            <w:tcW w:w="1540" w:type="dxa"/>
            <w:vAlign w:val="bottom"/>
            <w:tcBorders>
              <w:top w:val="single" w:sz="8" w:color="auto"/>
            </w:tcBorders>
          </w:tcPr>
          <w:p>
            <w:pPr>
              <w:spacing w:after="0"/>
              <w:rPr>
                <w:sz w:val="17"/>
                <w:szCs w:val="17"/>
                <w:color w:val="auto"/>
              </w:rPr>
            </w:pPr>
          </w:p>
        </w:tc>
      </w:tr>
      <w:tr>
        <w:trPr>
          <w:trHeight w:val="216"/>
        </w:trPr>
        <w:tc>
          <w:tcPr>
            <w:tcW w:w="45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15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$19,799</w:t>
            </w:r>
          </w:p>
        </w:tc>
        <w:tc>
          <w:tcPr>
            <w:tcW w:w="172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$12,621</w:t>
            </w:r>
          </w:p>
        </w:tc>
        <w:tc>
          <w:tcPr>
            <w:tcW w:w="172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$49,449</w:t>
            </w:r>
          </w:p>
        </w:tc>
        <w:tc>
          <w:tcPr>
            <w:tcW w:w="17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$33,782</w:t>
            </w:r>
          </w:p>
        </w:tc>
      </w:tr>
      <w:tr>
        <w:trPr>
          <w:trHeight w:val="216"/>
        </w:trPr>
        <w:tc>
          <w:tcPr>
            <w:tcW w:w="45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Equity-based compensation (a)</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3,253</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3,683</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10,749</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10,967</w:t>
            </w:r>
          </w:p>
        </w:tc>
      </w:tr>
      <w:tr>
        <w:trPr>
          <w:trHeight w:val="216"/>
        </w:trPr>
        <w:tc>
          <w:tcPr>
            <w:tcW w:w="4540" w:type="dxa"/>
            <w:vAlign w:val="bottom"/>
            <w:shd w:val="clear" w:color="auto" w:fill="CCFFCC"/>
          </w:tcPr>
          <w:p>
            <w:pPr>
              <w:ind w:left="80"/>
              <w:spacing w:after="0"/>
              <w:rPr>
                <w:sz w:val="20"/>
                <w:szCs w:val="20"/>
                <w:color w:val="auto"/>
              </w:rPr>
            </w:pPr>
            <w:r>
              <w:rPr>
                <w:rFonts w:ascii="Times New Roman" w:cs="Times New Roman" w:eastAsia="Times New Roman" w:hAnsi="Times New Roman"/>
                <w:sz w:val="18"/>
                <w:szCs w:val="18"/>
                <w:color w:val="auto"/>
              </w:rPr>
              <w:t>Tax benefit of stock awards vested (b)</w:t>
            </w:r>
          </w:p>
        </w:tc>
        <w:tc>
          <w:tcPr>
            <w:tcW w:w="15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321</w:t>
            </w:r>
          </w:p>
        </w:tc>
        <w:tc>
          <w:tcPr>
            <w:tcW w:w="172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172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3,924</w:t>
            </w:r>
          </w:p>
        </w:tc>
        <w:tc>
          <w:tcPr>
            <w:tcW w:w="17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9,063</w:t>
            </w:r>
          </w:p>
        </w:tc>
      </w:tr>
      <w:tr>
        <w:trPr>
          <w:trHeight w:val="216"/>
        </w:trPr>
        <w:tc>
          <w:tcPr>
            <w:tcW w:w="45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Unusual health insurance claim (c)</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(159)</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540" w:type="dxa"/>
            <w:vAlign w:val="bottom"/>
            <w:shd w:val="clear" w:color="auto" w:fill="CCFFCC"/>
          </w:tcPr>
          <w:p>
            <w:pPr>
              <w:ind w:left="80"/>
              <w:spacing w:after="0"/>
              <w:rPr>
                <w:sz w:val="20"/>
                <w:szCs w:val="20"/>
                <w:color w:val="auto"/>
              </w:rPr>
            </w:pPr>
            <w:r>
              <w:rPr>
                <w:rFonts w:ascii="Times New Roman" w:cs="Times New Roman" w:eastAsia="Times New Roman" w:hAnsi="Times New Roman"/>
                <w:sz w:val="18"/>
                <w:szCs w:val="18"/>
                <w:color w:val="auto"/>
              </w:rPr>
              <w:t>Restructuring expense (d)</w:t>
            </w:r>
          </w:p>
        </w:tc>
        <w:tc>
          <w:tcPr>
            <w:tcW w:w="15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72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708</w:t>
            </w:r>
          </w:p>
        </w:tc>
        <w:tc>
          <w:tcPr>
            <w:tcW w:w="17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Adjusted income tax provision (Non-GAAP)</w:t>
            </w: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$23,373</w:t>
            </w:r>
          </w:p>
        </w:tc>
        <w:tc>
          <w:tcPr>
            <w:tcW w:w="180" w:type="dxa"/>
            <w:vAlign w:val="bottom"/>
          </w:tcPr>
          <w:p>
            <w:pPr>
              <w:spacing w:after="0"/>
              <w:rPr>
                <w:sz w:val="18"/>
                <w:szCs w:val="18"/>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$16,883</w:t>
            </w:r>
          </w:p>
        </w:tc>
        <w:tc>
          <w:tcPr>
            <w:tcW w:w="180" w:type="dxa"/>
            <w:vAlign w:val="bottom"/>
          </w:tcPr>
          <w:p>
            <w:pPr>
              <w:spacing w:after="0"/>
              <w:rPr>
                <w:sz w:val="18"/>
                <w:szCs w:val="18"/>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$64,671</w:t>
            </w:r>
          </w:p>
        </w:tc>
        <w:tc>
          <w:tcPr>
            <w:tcW w:w="160" w:type="dxa"/>
            <w:vAlign w:val="bottom"/>
          </w:tcPr>
          <w:p>
            <w:pPr>
              <w:spacing w:after="0"/>
              <w:rPr>
                <w:sz w:val="18"/>
                <w:szCs w:val="18"/>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$53,812</w:t>
            </w:r>
          </w:p>
        </w:tc>
      </w:tr>
      <w:tr>
        <w:trPr>
          <w:trHeight w:val="20"/>
        </w:trPr>
        <w:tc>
          <w:tcPr>
            <w:tcW w:w="454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197"/>
        </w:trPr>
        <w:tc>
          <w:tcPr>
            <w:tcW w:w="45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16"/>
        </w:trPr>
        <w:tc>
          <w:tcPr>
            <w:tcW w:w="45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Net income</w:t>
            </w:r>
          </w:p>
        </w:tc>
        <w:tc>
          <w:tcPr>
            <w:tcW w:w="15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$58,633</w:t>
            </w:r>
          </w:p>
        </w:tc>
        <w:tc>
          <w:tcPr>
            <w:tcW w:w="172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$63,781</w:t>
            </w:r>
          </w:p>
        </w:tc>
        <w:tc>
          <w:tcPr>
            <w:tcW w:w="172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$167,995</w:t>
            </w:r>
          </w:p>
        </w:tc>
        <w:tc>
          <w:tcPr>
            <w:tcW w:w="17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$170,348</w:t>
            </w:r>
          </w:p>
        </w:tc>
      </w:tr>
      <w:tr>
        <w:trPr>
          <w:trHeight w:val="216"/>
        </w:trPr>
        <w:tc>
          <w:tcPr>
            <w:tcW w:w="45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Equity-based compensation (a)</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24,324</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20,170</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69,929</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59,647</w:t>
            </w:r>
          </w:p>
        </w:tc>
      </w:tr>
      <w:tr>
        <w:trPr>
          <w:trHeight w:val="216"/>
        </w:trPr>
        <w:tc>
          <w:tcPr>
            <w:tcW w:w="4540" w:type="dxa"/>
            <w:vAlign w:val="bottom"/>
            <w:shd w:val="clear" w:color="auto" w:fill="CCFFCC"/>
          </w:tcPr>
          <w:p>
            <w:pPr>
              <w:ind w:left="80"/>
              <w:spacing w:after="0"/>
              <w:rPr>
                <w:sz w:val="20"/>
                <w:szCs w:val="20"/>
                <w:color w:val="auto"/>
              </w:rPr>
            </w:pPr>
            <w:r>
              <w:rPr>
                <w:rFonts w:ascii="Times New Roman" w:cs="Times New Roman" w:eastAsia="Times New Roman" w:hAnsi="Times New Roman"/>
                <w:sz w:val="18"/>
                <w:szCs w:val="18"/>
                <w:color w:val="auto"/>
              </w:rPr>
              <w:t>Tax benefit of stock awards vested (b)</w:t>
            </w:r>
          </w:p>
        </w:tc>
        <w:tc>
          <w:tcPr>
            <w:tcW w:w="15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(321)</w:t>
            </w:r>
          </w:p>
        </w:tc>
        <w:tc>
          <w:tcPr>
            <w:tcW w:w="172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172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(3,924)</w:t>
            </w:r>
          </w:p>
        </w:tc>
        <w:tc>
          <w:tcPr>
            <w:tcW w:w="17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(9,063)</w:t>
            </w:r>
          </w:p>
        </w:tc>
      </w:tr>
      <w:tr>
        <w:trPr>
          <w:trHeight w:val="216"/>
        </w:trPr>
        <w:tc>
          <w:tcPr>
            <w:tcW w:w="45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Unusual health insurance claim (c)</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(499)</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540" w:type="dxa"/>
            <w:vAlign w:val="bottom"/>
            <w:shd w:val="clear" w:color="auto" w:fill="CCFFCC"/>
          </w:tcPr>
          <w:p>
            <w:pPr>
              <w:ind w:left="80"/>
              <w:spacing w:after="0"/>
              <w:rPr>
                <w:sz w:val="20"/>
                <w:szCs w:val="20"/>
                <w:color w:val="auto"/>
              </w:rPr>
            </w:pPr>
            <w:r>
              <w:rPr>
                <w:rFonts w:ascii="Times New Roman" w:cs="Times New Roman" w:eastAsia="Times New Roman" w:hAnsi="Times New Roman"/>
                <w:sz w:val="18"/>
                <w:szCs w:val="18"/>
                <w:color w:val="auto"/>
              </w:rPr>
              <w:t>Restructuring expense (d)</w:t>
            </w:r>
          </w:p>
        </w:tc>
        <w:tc>
          <w:tcPr>
            <w:tcW w:w="15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72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2,229</w:t>
            </w:r>
          </w:p>
        </w:tc>
        <w:tc>
          <w:tcPr>
            <w:tcW w:w="17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Adjusted net income (Non-GAAP)</w:t>
            </w: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$82,636</w:t>
            </w:r>
          </w:p>
        </w:tc>
        <w:tc>
          <w:tcPr>
            <w:tcW w:w="180" w:type="dxa"/>
            <w:vAlign w:val="bottom"/>
          </w:tcPr>
          <w:p>
            <w:pPr>
              <w:spacing w:after="0"/>
              <w:rPr>
                <w:sz w:val="18"/>
                <w:szCs w:val="18"/>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$83,372</w:t>
            </w:r>
          </w:p>
        </w:tc>
        <w:tc>
          <w:tcPr>
            <w:tcW w:w="180" w:type="dxa"/>
            <w:vAlign w:val="bottom"/>
          </w:tcPr>
          <w:p>
            <w:pPr>
              <w:spacing w:after="0"/>
              <w:rPr>
                <w:sz w:val="18"/>
                <w:szCs w:val="18"/>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$235,730</w:t>
            </w:r>
          </w:p>
        </w:tc>
        <w:tc>
          <w:tcPr>
            <w:tcW w:w="160" w:type="dxa"/>
            <w:vAlign w:val="bottom"/>
          </w:tcPr>
          <w:p>
            <w:pPr>
              <w:spacing w:after="0"/>
              <w:rPr>
                <w:sz w:val="18"/>
                <w:szCs w:val="18"/>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$220,932</w:t>
            </w:r>
          </w:p>
        </w:tc>
      </w:tr>
      <w:tr>
        <w:trPr>
          <w:trHeight w:val="20"/>
        </w:trPr>
        <w:tc>
          <w:tcPr>
            <w:tcW w:w="454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196"/>
        </w:trPr>
        <w:tc>
          <w:tcPr>
            <w:tcW w:w="45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16"/>
        </w:trPr>
        <w:tc>
          <w:tcPr>
            <w:tcW w:w="45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Diluted EPS</w:t>
            </w:r>
          </w:p>
        </w:tc>
        <w:tc>
          <w:tcPr>
            <w:tcW w:w="15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$0.96</w:t>
            </w:r>
          </w:p>
        </w:tc>
        <w:tc>
          <w:tcPr>
            <w:tcW w:w="172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72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$2.75</w:t>
            </w:r>
          </w:p>
        </w:tc>
        <w:tc>
          <w:tcPr>
            <w:tcW w:w="17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$2.74</w:t>
            </w:r>
          </w:p>
        </w:tc>
      </w:tr>
      <w:tr>
        <w:trPr>
          <w:trHeight w:val="216"/>
        </w:trPr>
        <w:tc>
          <w:tcPr>
            <w:tcW w:w="45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Equity-based compensation (a)</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0.40</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1.14</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0.96</w:t>
            </w:r>
          </w:p>
        </w:tc>
      </w:tr>
      <w:tr>
        <w:trPr>
          <w:trHeight w:val="216"/>
        </w:trPr>
        <w:tc>
          <w:tcPr>
            <w:tcW w:w="4540" w:type="dxa"/>
            <w:vAlign w:val="bottom"/>
            <w:shd w:val="clear" w:color="auto" w:fill="CCFFCC"/>
          </w:tcPr>
          <w:p>
            <w:pPr>
              <w:ind w:left="80"/>
              <w:spacing w:after="0"/>
              <w:rPr>
                <w:sz w:val="20"/>
                <w:szCs w:val="20"/>
                <w:color w:val="auto"/>
              </w:rPr>
            </w:pPr>
            <w:r>
              <w:rPr>
                <w:rFonts w:ascii="Times New Roman" w:cs="Times New Roman" w:eastAsia="Times New Roman" w:hAnsi="Times New Roman"/>
                <w:sz w:val="18"/>
                <w:szCs w:val="18"/>
                <w:color w:val="auto"/>
              </w:rPr>
              <w:t>Tax benefit of stock awards vested (b)</w:t>
            </w:r>
          </w:p>
        </w:tc>
        <w:tc>
          <w:tcPr>
            <w:tcW w:w="15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(0.01)</w:t>
            </w:r>
          </w:p>
        </w:tc>
        <w:tc>
          <w:tcPr>
            <w:tcW w:w="172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72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(0.06)</w:t>
            </w:r>
          </w:p>
        </w:tc>
        <w:tc>
          <w:tcPr>
            <w:tcW w:w="17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(0.15)</w:t>
            </w:r>
          </w:p>
        </w:tc>
      </w:tr>
      <w:tr>
        <w:trPr>
          <w:trHeight w:val="216"/>
        </w:trPr>
        <w:tc>
          <w:tcPr>
            <w:tcW w:w="45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Unusual health insurance claim (c)</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(0.01)</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540" w:type="dxa"/>
            <w:vAlign w:val="bottom"/>
            <w:shd w:val="clear" w:color="auto" w:fill="CCFFCC"/>
          </w:tcPr>
          <w:p>
            <w:pPr>
              <w:ind w:left="80"/>
              <w:spacing w:after="0"/>
              <w:rPr>
                <w:sz w:val="20"/>
                <w:szCs w:val="20"/>
                <w:color w:val="auto"/>
              </w:rPr>
            </w:pPr>
            <w:r>
              <w:rPr>
                <w:rFonts w:ascii="Times New Roman" w:cs="Times New Roman" w:eastAsia="Times New Roman" w:hAnsi="Times New Roman"/>
                <w:sz w:val="18"/>
                <w:szCs w:val="18"/>
                <w:color w:val="auto"/>
              </w:rPr>
              <w:t>Restructuring expense (d)</w:t>
            </w:r>
          </w:p>
        </w:tc>
        <w:tc>
          <w:tcPr>
            <w:tcW w:w="15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72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0.04</w:t>
            </w:r>
          </w:p>
        </w:tc>
        <w:tc>
          <w:tcPr>
            <w:tcW w:w="17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Adjusted diluted EPS (Non-GAAP)</w:t>
            </w: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$1.36</w:t>
            </w:r>
          </w:p>
        </w:tc>
        <w:tc>
          <w:tcPr>
            <w:tcW w:w="180" w:type="dxa"/>
            <w:vAlign w:val="bottom"/>
          </w:tcPr>
          <w:p>
            <w:pPr>
              <w:spacing w:after="0"/>
              <w:rPr>
                <w:sz w:val="18"/>
                <w:szCs w:val="18"/>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80" w:type="dxa"/>
            <w:vAlign w:val="bottom"/>
          </w:tcPr>
          <w:p>
            <w:pPr>
              <w:spacing w:after="0"/>
              <w:rPr>
                <w:sz w:val="18"/>
                <w:szCs w:val="18"/>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$3.85</w:t>
            </w:r>
          </w:p>
        </w:tc>
        <w:tc>
          <w:tcPr>
            <w:tcW w:w="160" w:type="dxa"/>
            <w:vAlign w:val="bottom"/>
          </w:tcPr>
          <w:p>
            <w:pPr>
              <w:spacing w:after="0"/>
              <w:rPr>
                <w:sz w:val="18"/>
                <w:szCs w:val="18"/>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w:t>
            </w:r>
          </w:p>
        </w:tc>
      </w:tr>
      <w:tr>
        <w:trPr>
          <w:trHeight w:val="20"/>
        </w:trPr>
        <w:tc>
          <w:tcPr>
            <w:tcW w:w="454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196"/>
        </w:trPr>
        <w:tc>
          <w:tcPr>
            <w:tcW w:w="45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16"/>
        </w:trPr>
        <w:tc>
          <w:tcPr>
            <w:tcW w:w="45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Fully diluted shares</w:t>
            </w:r>
          </w:p>
        </w:tc>
        <w:tc>
          <w:tcPr>
            <w:tcW w:w="15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60,954</w:t>
            </w:r>
          </w:p>
        </w:tc>
        <w:tc>
          <w:tcPr>
            <w:tcW w:w="172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61,948</w:t>
            </w:r>
          </w:p>
        </w:tc>
        <w:tc>
          <w:tcPr>
            <w:tcW w:w="172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61,183</w:t>
            </w:r>
          </w:p>
        </w:tc>
        <w:tc>
          <w:tcPr>
            <w:tcW w:w="17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62,186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-3282315</wp:posOffset>
            </wp:positionV>
            <wp:extent cx="11176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3">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-3265170</wp:posOffset>
            </wp:positionV>
            <wp:extent cx="11176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4">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-3282315</wp:posOffset>
            </wp:positionV>
            <wp:extent cx="11112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-3265170</wp:posOffset>
            </wp:positionV>
            <wp:extent cx="11112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-3282315</wp:posOffset>
            </wp:positionV>
            <wp:extent cx="10287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-3265170</wp:posOffset>
            </wp:positionV>
            <wp:extent cx="10287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70" w:lineRule="exact"/>
        <w:rPr>
          <w:sz w:val="20"/>
          <w:szCs w:val="20"/>
          <w:color w:val="auto"/>
        </w:rPr>
      </w:pPr>
    </w:p>
    <w:p>
      <w:pPr>
        <w:jc w:val="both"/>
        <w:ind w:left="380" w:right="40" w:hanging="372"/>
        <w:spacing w:after="0" w:line="266" w:lineRule="auto"/>
        <w:tabs>
          <w:tab w:leader="none" w:pos="3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results exclude all equity-based compensation, as detailed below, to facilitate comparison with our peers and for the other reasons explained in our Current Report on Form 8-K filed with the SEC. We do not receive a GAAP tax benefit for a portion of our equity-based compensation, mainly because of Section 162(m) of the Internal Revenue Code, which limits tax deductions for compensation granted to certain executives.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540" w:type="dxa"/>
            <w:vAlign w:val="bottom"/>
          </w:tcPr>
          <w:p>
            <w:pPr>
              <w:spacing w:after="0"/>
              <w:rPr>
                <w:sz w:val="15"/>
                <w:szCs w:val="15"/>
                <w:color w:val="auto"/>
              </w:rPr>
            </w:pPr>
          </w:p>
        </w:tc>
        <w:tc>
          <w:tcPr>
            <w:tcW w:w="3280" w:type="dxa"/>
            <w:vAlign w:val="bottom"/>
            <w:tcBorders>
              <w:bottom w:val="single" w:sz="8" w:color="auto"/>
            </w:tcBorders>
            <w:gridSpan w:val="4"/>
          </w:tcPr>
          <w:p>
            <w:pPr>
              <w:jc w:val="right"/>
              <w:ind w:right="43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80" w:type="dxa"/>
            <w:vAlign w:val="bottom"/>
          </w:tcPr>
          <w:p>
            <w:pPr>
              <w:spacing w:after="0"/>
              <w:rPr>
                <w:sz w:val="15"/>
                <w:szCs w:val="15"/>
                <w:color w:val="auto"/>
              </w:rPr>
            </w:pPr>
          </w:p>
        </w:tc>
        <w:tc>
          <w:tcPr>
            <w:tcW w:w="3240" w:type="dxa"/>
            <w:vAlign w:val="bottom"/>
            <w:tcBorders>
              <w:bottom w:val="single" w:sz="8" w:color="auto"/>
            </w:tcBorders>
            <w:gridSpan w:val="3"/>
          </w:tcPr>
          <w:p>
            <w:pPr>
              <w:jc w:val="right"/>
              <w:ind w:right="47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42"/>
        </w:trPr>
        <w:tc>
          <w:tcPr>
            <w:tcW w:w="4540" w:type="dxa"/>
            <w:vAlign w:val="bottom"/>
          </w:tcPr>
          <w:p>
            <w:pPr>
              <w:spacing w:after="0"/>
              <w:rPr>
                <w:sz w:val="12"/>
                <w:szCs w:val="12"/>
                <w:color w:val="auto"/>
              </w:rPr>
            </w:pPr>
          </w:p>
        </w:tc>
        <w:tc>
          <w:tcPr>
            <w:tcW w:w="9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Pr>
          <w:p>
            <w:pPr>
              <w:spacing w:after="0"/>
              <w:rPr>
                <w:sz w:val="12"/>
                <w:szCs w:val="12"/>
                <w:color w:val="auto"/>
              </w:rPr>
            </w:pPr>
          </w:p>
        </w:tc>
        <w:tc>
          <w:tcPr>
            <w:tcW w:w="1720" w:type="dxa"/>
            <w:vAlign w:val="bottom"/>
            <w:gridSpan w:val="2"/>
          </w:tcPr>
          <w:p>
            <w:pPr>
              <w:jc w:val="right"/>
              <w:ind w:right="550"/>
              <w:spacing w:after="0" w:line="142" w:lineRule="exact"/>
              <w:rPr>
                <w:sz w:val="20"/>
                <w:szCs w:val="20"/>
                <w:color w:val="auto"/>
              </w:rPr>
            </w:pPr>
            <w:r>
              <w:rPr>
                <w:rFonts w:ascii="Times New Roman" w:cs="Times New Roman" w:eastAsia="Times New Roman" w:hAnsi="Times New Roman"/>
                <w:sz w:val="14"/>
                <w:szCs w:val="14"/>
                <w:color w:val="auto"/>
              </w:rPr>
              <w:t>2024</w:t>
            </w:r>
          </w:p>
        </w:tc>
        <w:tc>
          <w:tcPr>
            <w:tcW w:w="180" w:type="dxa"/>
            <w:vAlign w:val="bottom"/>
          </w:tcPr>
          <w:p>
            <w:pPr>
              <w:spacing w:after="0"/>
              <w:rPr>
                <w:sz w:val="12"/>
                <w:szCs w:val="12"/>
                <w:color w:val="auto"/>
              </w:rPr>
            </w:pPr>
          </w:p>
        </w:tc>
        <w:tc>
          <w:tcPr>
            <w:tcW w:w="1540" w:type="dxa"/>
            <w:vAlign w:val="bottom"/>
          </w:tcPr>
          <w:p>
            <w:pPr>
              <w:jc w:val="right"/>
              <w:ind w:right="55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700" w:type="dxa"/>
            <w:vAlign w:val="bottom"/>
            <w:gridSpan w:val="2"/>
          </w:tcPr>
          <w:p>
            <w:pPr>
              <w:jc w:val="right"/>
              <w:ind w:right="550"/>
              <w:spacing w:after="0" w:line="142" w:lineRule="exact"/>
              <w:rPr>
                <w:sz w:val="20"/>
                <w:szCs w:val="20"/>
                <w:color w:val="auto"/>
              </w:rPr>
            </w:pPr>
            <w:r>
              <w:rPr>
                <w:rFonts w:ascii="Times New Roman" w:cs="Times New Roman" w:eastAsia="Times New Roman" w:hAnsi="Times New Roman"/>
                <w:sz w:val="14"/>
                <w:szCs w:val="14"/>
                <w:color w:val="auto"/>
              </w:rPr>
              <w:t>2024</w:t>
            </w:r>
          </w:p>
        </w:tc>
      </w:tr>
      <w:tr>
        <w:trPr>
          <w:trHeight w:val="210"/>
        </w:trPr>
        <w:tc>
          <w:tcPr>
            <w:tcW w:w="454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r>
      <w:tr>
        <w:trPr>
          <w:trHeight w:val="216"/>
        </w:trPr>
        <w:tc>
          <w:tcPr>
            <w:tcW w:w="5480" w:type="dxa"/>
            <w:vAlign w:val="bottom"/>
            <w:gridSpan w:val="2"/>
            <w:shd w:val="clear" w:color="auto" w:fill="CCFFCC"/>
          </w:tcPr>
          <w:p>
            <w:pPr>
              <w:ind w:left="80"/>
              <w:spacing w:after="0"/>
              <w:rPr>
                <w:sz w:val="20"/>
                <w:szCs w:val="20"/>
                <w:color w:val="auto"/>
              </w:rPr>
            </w:pPr>
            <w:r>
              <w:rPr>
                <w:rFonts w:ascii="Times New Roman" w:cs="Times New Roman" w:eastAsia="Times New Roman" w:hAnsi="Times New Roman"/>
                <w:sz w:val="18"/>
                <w:szCs w:val="18"/>
                <w:color w:val="auto"/>
              </w:rPr>
              <w:t>Cost of services</w:t>
            </w:r>
          </w:p>
        </w:tc>
        <w:tc>
          <w:tcPr>
            <w:tcW w:w="6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$11,417</w:t>
            </w:r>
          </w:p>
        </w:tc>
        <w:tc>
          <w:tcPr>
            <w:tcW w:w="172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$10,835</w:t>
            </w:r>
          </w:p>
        </w:tc>
        <w:tc>
          <w:tcPr>
            <w:tcW w:w="172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$33,355</w:t>
            </w:r>
          </w:p>
        </w:tc>
        <w:tc>
          <w:tcPr>
            <w:tcW w:w="17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$31,482</w:t>
            </w:r>
          </w:p>
        </w:tc>
      </w:tr>
      <w:tr>
        <w:trPr>
          <w:trHeight w:val="216"/>
        </w:trPr>
        <w:tc>
          <w:tcPr>
            <w:tcW w:w="54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6,216</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5,117</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17,848</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15,812</w:t>
            </w:r>
          </w:p>
        </w:tc>
      </w:tr>
      <w:tr>
        <w:trPr>
          <w:trHeight w:val="216"/>
        </w:trPr>
        <w:tc>
          <w:tcPr>
            <w:tcW w:w="5480" w:type="dxa"/>
            <w:vAlign w:val="bottom"/>
            <w:gridSpan w:val="2"/>
            <w:shd w:val="clear" w:color="auto" w:fill="CCFFCC"/>
          </w:tcPr>
          <w:p>
            <w:pPr>
              <w:ind w:left="80"/>
              <w:spacing w:after="0"/>
              <w:rPr>
                <w:sz w:val="20"/>
                <w:szCs w:val="20"/>
                <w:color w:val="auto"/>
              </w:rPr>
            </w:pPr>
            <w:r>
              <w:rPr>
                <w:rFonts w:ascii="Times New Roman" w:cs="Times New Roman" w:eastAsia="Times New Roman" w:hAnsi="Times New Roman"/>
                <w:sz w:val="18"/>
                <w:szCs w:val="18"/>
                <w:color w:val="auto"/>
              </w:rPr>
              <w:t>Sales and marketing</w:t>
            </w:r>
          </w:p>
        </w:tc>
        <w:tc>
          <w:tcPr>
            <w:tcW w:w="6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2,267</w:t>
            </w:r>
          </w:p>
        </w:tc>
        <w:tc>
          <w:tcPr>
            <w:tcW w:w="172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2,189</w:t>
            </w:r>
          </w:p>
        </w:tc>
        <w:tc>
          <w:tcPr>
            <w:tcW w:w="172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5,694</w:t>
            </w:r>
          </w:p>
        </w:tc>
        <w:tc>
          <w:tcPr>
            <w:tcW w:w="17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6,295</w:t>
            </w:r>
          </w:p>
        </w:tc>
      </w:tr>
      <w:tr>
        <w:trPr>
          <w:trHeight w:val="216"/>
        </w:trPr>
        <w:tc>
          <w:tcPr>
            <w:tcW w:w="45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7,677</w:t>
            </w:r>
          </w:p>
        </w:tc>
        <w:tc>
          <w:tcPr>
            <w:tcW w:w="180" w:type="dxa"/>
            <w:vAlign w:val="bottom"/>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5,712</w:t>
            </w:r>
          </w:p>
        </w:tc>
        <w:tc>
          <w:tcPr>
            <w:tcW w:w="180" w:type="dxa"/>
            <w:vAlign w:val="bottom"/>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23,781</w:t>
            </w:r>
          </w:p>
        </w:tc>
        <w:tc>
          <w:tcPr>
            <w:tcW w:w="160" w:type="dxa"/>
            <w:vAlign w:val="bottom"/>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17,025</w:t>
            </w:r>
          </w:p>
        </w:tc>
      </w:tr>
      <w:tr>
        <w:trPr>
          <w:trHeight w:val="250"/>
        </w:trPr>
        <w:tc>
          <w:tcPr>
            <w:tcW w:w="4540" w:type="dxa"/>
            <w:vAlign w:val="bottom"/>
            <w:tcBorders>
              <w:bottom w:val="single" w:sz="8" w:color="CCFFCC"/>
            </w:tcBorders>
            <w:shd w:val="clear" w:color="auto" w:fill="CCFFCC"/>
          </w:tcPr>
          <w:p>
            <w:pPr>
              <w:spacing w:after="0"/>
              <w:rPr>
                <w:sz w:val="20"/>
                <w:szCs w:val="20"/>
                <w:color w:val="auto"/>
              </w:rPr>
            </w:pPr>
            <w:r>
              <w:rPr>
                <w:rFonts w:ascii="Times New Roman" w:cs="Times New Roman" w:eastAsia="Times New Roman" w:hAnsi="Times New Roman"/>
                <w:sz w:val="18"/>
                <w:szCs w:val="18"/>
                <w:color w:val="auto"/>
              </w:rPr>
              <w:t>Total equity-based compensation</w:t>
            </w:r>
          </w:p>
        </w:tc>
        <w:tc>
          <w:tcPr>
            <w:tcW w:w="940" w:type="dxa"/>
            <w:vAlign w:val="bottom"/>
            <w:tcBorders>
              <w:bottom w:val="single" w:sz="8" w:color="auto"/>
            </w:tcBorders>
            <w:shd w:val="clear" w:color="auto" w:fill="CCFFCC"/>
          </w:tcPr>
          <w:p>
            <w:pPr>
              <w:spacing w:after="0"/>
              <w:rPr>
                <w:sz w:val="21"/>
                <w:szCs w:val="21"/>
                <w:color w:val="auto"/>
              </w:rPr>
            </w:pPr>
          </w:p>
        </w:tc>
        <w:tc>
          <w:tcPr>
            <w:tcW w:w="62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$27,577</w:t>
            </w:r>
          </w:p>
        </w:tc>
        <w:tc>
          <w:tcPr>
            <w:tcW w:w="180" w:type="dxa"/>
            <w:vAlign w:val="bottom"/>
            <w:tcBorders>
              <w:bottom w:val="single" w:sz="8" w:color="CCFFCC"/>
            </w:tcBorders>
            <w:shd w:val="clear" w:color="auto" w:fill="CCFFCC"/>
          </w:tcPr>
          <w:p>
            <w:pPr>
              <w:spacing w:after="0"/>
              <w:rPr>
                <w:sz w:val="21"/>
                <w:szCs w:val="21"/>
                <w:color w:val="auto"/>
              </w:rPr>
            </w:pPr>
          </w:p>
        </w:tc>
        <w:tc>
          <w:tcPr>
            <w:tcW w:w="154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$23,853</w:t>
            </w:r>
          </w:p>
        </w:tc>
        <w:tc>
          <w:tcPr>
            <w:tcW w:w="180" w:type="dxa"/>
            <w:vAlign w:val="bottom"/>
            <w:tcBorders>
              <w:bottom w:val="single" w:sz="8" w:color="CCFFCC"/>
            </w:tcBorders>
            <w:shd w:val="clear" w:color="auto" w:fill="CCFFCC"/>
          </w:tcPr>
          <w:p>
            <w:pPr>
              <w:spacing w:after="0"/>
              <w:rPr>
                <w:sz w:val="21"/>
                <w:szCs w:val="21"/>
                <w:color w:val="auto"/>
              </w:rPr>
            </w:pPr>
          </w:p>
        </w:tc>
        <w:tc>
          <w:tcPr>
            <w:tcW w:w="154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$80,678</w:t>
            </w:r>
          </w:p>
        </w:tc>
        <w:tc>
          <w:tcPr>
            <w:tcW w:w="160" w:type="dxa"/>
            <w:vAlign w:val="bottom"/>
            <w:tcBorders>
              <w:bottom w:val="single" w:sz="8" w:color="CCFFCC"/>
            </w:tcBorders>
            <w:shd w:val="clear" w:color="auto" w:fill="CCFFCC"/>
          </w:tcPr>
          <w:p>
            <w:pPr>
              <w:spacing w:after="0"/>
              <w:rPr>
                <w:sz w:val="21"/>
                <w:szCs w:val="21"/>
                <w:color w:val="auto"/>
              </w:rPr>
            </w:pPr>
          </w:p>
        </w:tc>
        <w:tc>
          <w:tcPr>
            <w:tcW w:w="154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$70,614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-24765</wp:posOffset>
            </wp:positionV>
            <wp:extent cx="11176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-7620</wp:posOffset>
            </wp:positionV>
            <wp:extent cx="11176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-24765</wp:posOffset>
            </wp:positionV>
            <wp:extent cx="11112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-7620</wp:posOffset>
            </wp:positionV>
            <wp:extent cx="11112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-24765</wp:posOffset>
            </wp:positionV>
            <wp:extent cx="10287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-7620</wp:posOffset>
            </wp:positionV>
            <wp:extent cx="10287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70" w:lineRule="exact"/>
        <w:rPr>
          <w:sz w:val="20"/>
          <w:szCs w:val="20"/>
          <w:color w:val="auto"/>
        </w:rPr>
      </w:pPr>
    </w:p>
    <w:p>
      <w:pPr>
        <w:ind w:left="380" w:right="60" w:hanging="372"/>
        <w:spacing w:after="0" w:line="258" w:lineRule="auto"/>
        <w:tabs>
          <w:tab w:leader="none" w:pos="3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Adjustments represent the excess tax benefits and tax deficiencies of the equity awards vested during the period. Excess tax benefits (deficiencies) occur when the amount deductible on our tax return for an equity award is more (less) than the cumulative compensation cost recognized for financial reporting purposes. As discussed above, we exclude equity-based compensation from adjusted non-GAAP results to be consistent with other companies in the software industry and for the other reasons explained in our Current Report on Form 8-K filed with the SEC. Therefore, we also exclude the related tax benefit (expense) generated upon their vesting.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904240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2" w:name="page13"/>
    <w:bookmarkEnd w:id="12"/>
    <w:p>
      <w:pPr>
        <w:ind w:left="372" w:hanging="372"/>
        <w:spacing w:after="0" w:line="258" w:lineRule="auto"/>
        <w:tabs>
          <w:tab w:leader="none" w:pos="372"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fourth quarter of 2024, we recorded $7.0 million of expense for an unusual health insurance claim. During the first quarter of 2025, we received an insurance recovery of $4.7 million for this claim, partially offset by $1.0 million of ongoing expense for the claim. During the second quarter of 2025, we recorded an additional $3.0 million of expense for this unusual health insurance claim. Based on the uncommonly large magnitude and nature of the claim, we do not believe that this expense reflects our normal operating activities, and we have excluded the amount from adjusted non-GAAP results.</w:t>
      </w:r>
    </w:p>
    <w:p>
      <w:pPr>
        <w:spacing w:after="0" w:line="75" w:lineRule="exact"/>
        <w:rPr>
          <w:rFonts w:ascii="Times New Roman" w:cs="Times New Roman" w:eastAsia="Times New Roman" w:hAnsi="Times New Roman"/>
          <w:sz w:val="18"/>
          <w:szCs w:val="18"/>
          <w:color w:val="auto"/>
        </w:rPr>
      </w:pPr>
    </w:p>
    <w:p>
      <w:pPr>
        <w:ind w:left="372" w:right="120" w:hanging="372"/>
        <w:spacing w:after="0" w:line="261" w:lineRule="auto"/>
        <w:tabs>
          <w:tab w:leader="none" w:pos="372"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January 2025, the Company eliminated about 100 positions to align our services capacity with customer demand, which has been impacted by macro-economic uncertainty. We recorded pre-tax restructuring expense in the first quarter of 2025 of approximately $2.9 million. The expense primarily consists of employee severance and outplacement services. We do not believe that the expense is a common cost that resulted from normal operating activities, and thus we have excluded the amount from adjusted non-GAAP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901700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92"/>
          </w:cols>
          <w:pgMar w:left="328" w:top="1093" w:right="37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MANHATTAN ASSOCIATES,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280" w:type="dxa"/>
            <w:vAlign w:val="bottom"/>
          </w:tcPr>
          <w:p>
            <w:pPr>
              <w:spacing w:after="0"/>
              <w:rPr>
                <w:sz w:val="15"/>
                <w:szCs w:val="15"/>
                <w:color w:val="auto"/>
              </w:rPr>
            </w:pPr>
          </w:p>
        </w:tc>
        <w:tc>
          <w:tcPr>
            <w:tcW w:w="4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09"/>
        </w:trPr>
        <w:tc>
          <w:tcPr>
            <w:tcW w:w="328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80" w:type="dxa"/>
            <w:vAlign w:val="bottom"/>
            <w:shd w:val="clear" w:color="auto" w:fill="CCFFCC"/>
          </w:tcPr>
          <w:p>
            <w:pPr>
              <w:spacing w:after="0"/>
              <w:rPr>
                <w:sz w:val="18"/>
                <w:szCs w:val="18"/>
                <w:color w:val="auto"/>
              </w:rPr>
            </w:pPr>
          </w:p>
        </w:tc>
        <w:tc>
          <w:tcPr>
            <w:tcW w:w="4600" w:type="dxa"/>
            <w:vAlign w:val="bottom"/>
            <w:gridSpan w:val="2"/>
            <w:shd w:val="clear" w:color="auto" w:fill="CCFFCC"/>
          </w:tcPr>
          <w:p>
            <w:pPr>
              <w:jc w:val="right"/>
              <w:ind w:right="376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4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4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80" w:type="dxa"/>
            <w:vAlign w:val="bottom"/>
            <w:shd w:val="clear" w:color="auto" w:fill="CCFFCC"/>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600" w:type="dxa"/>
            <w:vAlign w:val="bottom"/>
            <w:gridSpan w:val="2"/>
            <w:shd w:val="clear" w:color="auto" w:fill="CCFFC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263,555</w:t>
            </w:r>
          </w:p>
        </w:tc>
        <w:tc>
          <w:tcPr>
            <w:tcW w:w="420" w:type="dxa"/>
            <w:vAlign w:val="bottom"/>
            <w:gridSpan w:val="2"/>
            <w:shd w:val="clear" w:color="auto" w:fill="CCFFC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266,230</w:t>
            </w:r>
          </w:p>
        </w:tc>
        <w:tc>
          <w:tcPr>
            <w:tcW w:w="100" w:type="dxa"/>
            <w:vAlign w:val="bottom"/>
            <w:shd w:val="clear" w:color="auto" w:fill="CCFFCC"/>
          </w:tcPr>
          <w:p>
            <w:pPr>
              <w:spacing w:after="0"/>
              <w:rPr>
                <w:sz w:val="18"/>
                <w:szCs w:val="18"/>
                <w:color w:val="auto"/>
              </w:rPr>
            </w:pPr>
          </w:p>
        </w:tc>
      </w:tr>
      <w:tr>
        <w:trPr>
          <w:trHeight w:val="216"/>
        </w:trPr>
        <w:tc>
          <w:tcPr>
            <w:tcW w:w="3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receivable, net</w:t>
            </w:r>
          </w:p>
        </w:tc>
        <w:tc>
          <w:tcPr>
            <w:tcW w:w="4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219,556</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205,475</w:t>
            </w:r>
          </w:p>
        </w:tc>
        <w:tc>
          <w:tcPr>
            <w:tcW w:w="100" w:type="dxa"/>
            <w:vAlign w:val="bottom"/>
          </w:tcPr>
          <w:p>
            <w:pPr>
              <w:spacing w:after="0"/>
              <w:rPr>
                <w:sz w:val="18"/>
                <w:szCs w:val="18"/>
                <w:color w:val="auto"/>
              </w:rPr>
            </w:pPr>
          </w:p>
        </w:tc>
      </w:tr>
      <w:tr>
        <w:trPr>
          <w:trHeight w:val="216"/>
        </w:trPr>
        <w:tc>
          <w:tcPr>
            <w:tcW w:w="3280" w:type="dxa"/>
            <w:vAlign w:val="bottom"/>
            <w:tcBorders>
              <w:bottom w:val="single" w:sz="8" w:color="CCFFCC"/>
            </w:tcBorders>
            <w:shd w:val="clear" w:color="auto" w:fill="CCFFCC"/>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4460" w:type="dxa"/>
            <w:vAlign w:val="bottom"/>
            <w:tcBorders>
              <w:bottom w:val="single" w:sz="8" w:color="CCFFCC"/>
            </w:tcBorders>
            <w:shd w:val="clear" w:color="auto" w:fill="CCFFCC"/>
          </w:tcPr>
          <w:p>
            <w:pPr>
              <w:spacing w:after="0"/>
              <w:rPr>
                <w:sz w:val="18"/>
                <w:szCs w:val="18"/>
                <w:color w:val="auto"/>
              </w:rPr>
            </w:pPr>
          </w:p>
        </w:tc>
        <w:tc>
          <w:tcPr>
            <w:tcW w:w="140" w:type="dxa"/>
            <w:vAlign w:val="bottom"/>
            <w:tcBorders>
              <w:bottom w:val="single" w:sz="8" w:color="auto"/>
            </w:tcBorders>
            <w:shd w:val="clear" w:color="auto" w:fill="CCFFCC"/>
          </w:tcPr>
          <w:p>
            <w:pPr>
              <w:spacing w:after="0"/>
              <w:rPr>
                <w:sz w:val="18"/>
                <w:szCs w:val="18"/>
                <w:color w:val="auto"/>
              </w:rPr>
            </w:pPr>
          </w:p>
        </w:tc>
        <w:tc>
          <w:tcPr>
            <w:tcW w:w="142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42,659</w:t>
            </w:r>
          </w:p>
        </w:tc>
        <w:tc>
          <w:tcPr>
            <w:tcW w:w="280" w:type="dxa"/>
            <w:vAlign w:val="bottom"/>
            <w:tcBorders>
              <w:bottom w:val="single" w:sz="8" w:color="CCFFCC"/>
            </w:tcBorders>
            <w:shd w:val="clear" w:color="auto" w:fill="CCFFCC"/>
          </w:tcPr>
          <w:p>
            <w:pPr>
              <w:spacing w:after="0"/>
              <w:rPr>
                <w:sz w:val="18"/>
                <w:szCs w:val="18"/>
                <w:color w:val="auto"/>
              </w:rPr>
            </w:pPr>
          </w:p>
        </w:tc>
        <w:tc>
          <w:tcPr>
            <w:tcW w:w="140" w:type="dxa"/>
            <w:vAlign w:val="bottom"/>
            <w:tcBorders>
              <w:bottom w:val="single" w:sz="8" w:color="auto"/>
            </w:tcBorders>
            <w:shd w:val="clear" w:color="auto" w:fill="CCFFCC"/>
          </w:tcPr>
          <w:p>
            <w:pPr>
              <w:spacing w:after="0"/>
              <w:rPr>
                <w:sz w:val="18"/>
                <w:szCs w:val="18"/>
                <w:color w:val="auto"/>
              </w:rPr>
            </w:pPr>
          </w:p>
        </w:tc>
        <w:tc>
          <w:tcPr>
            <w:tcW w:w="142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31,559</w:t>
            </w:r>
          </w:p>
        </w:tc>
        <w:tc>
          <w:tcPr>
            <w:tcW w:w="100" w:type="dxa"/>
            <w:vAlign w:val="bottom"/>
            <w:tcBorders>
              <w:bottom w:val="single" w:sz="8" w:color="CCFFCC"/>
            </w:tcBorders>
            <w:shd w:val="clear" w:color="auto" w:fill="CCFFCC"/>
          </w:tcPr>
          <w:p>
            <w:pPr>
              <w:spacing w:after="0"/>
              <w:rPr>
                <w:sz w:val="18"/>
                <w:szCs w:val="18"/>
                <w:color w:val="auto"/>
              </w:rPr>
            </w:pPr>
          </w:p>
        </w:tc>
      </w:tr>
      <w:tr>
        <w:trPr>
          <w:trHeight w:val="232"/>
        </w:trPr>
        <w:tc>
          <w:tcPr>
            <w:tcW w:w="32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current assets</w:t>
            </w:r>
          </w:p>
        </w:tc>
        <w:tc>
          <w:tcPr>
            <w:tcW w:w="4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525,770</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503,264</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-159385</wp:posOffset>
            </wp:positionV>
            <wp:extent cx="685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-159385</wp:posOffset>
            </wp:positionV>
            <wp:extent cx="6858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p>
      <w:pPr>
        <w:spacing w:after="0" w:line="17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Property and equipment, net</w:t>
      </w:r>
    </w:p>
    <w:p>
      <w:pPr>
        <w:spacing w:after="0" w:line="2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Operating lease right-of-use assets</w:t>
      </w:r>
    </w:p>
    <w:p>
      <w:pPr>
        <w:spacing w:after="0" w:line="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Goodwill, net</w:t>
      </w:r>
    </w:p>
    <w:p>
      <w:pPr>
        <w:spacing w:after="0" w:line="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Deferred income taxes</w:t>
      </w:r>
    </w:p>
    <w:p>
      <w:pPr>
        <w:spacing w:after="0" w:line="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Other assets</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Total assets</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20,050</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13,971</w:t>
            </w: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45,734</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47,923</w:t>
            </w: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62,244</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62,226</w:t>
            </w: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76,374</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94,505</w:t>
            </w:r>
          </w:p>
        </w:tc>
      </w:tr>
      <w:tr>
        <w:trPr>
          <w:trHeight w:val="238"/>
        </w:trPr>
        <w:tc>
          <w:tcPr>
            <w:tcW w:w="2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38,651</w:t>
            </w:r>
          </w:p>
        </w:tc>
        <w:tc>
          <w:tcPr>
            <w:tcW w:w="28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35,662</w:t>
            </w:r>
          </w:p>
        </w:tc>
      </w:tr>
      <w:tr>
        <w:trPr>
          <w:trHeight w:val="209"/>
        </w:trPr>
        <w:tc>
          <w:tcPr>
            <w:tcW w:w="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768,823</w:t>
            </w:r>
          </w:p>
        </w:tc>
        <w:tc>
          <w:tcPr>
            <w:tcW w:w="280" w:type="dxa"/>
            <w:vAlign w:val="bottom"/>
          </w:tcPr>
          <w:p>
            <w:pPr>
              <w:spacing w:after="0"/>
              <w:rPr>
                <w:sz w:val="18"/>
                <w:szCs w:val="18"/>
                <w:color w:val="auto"/>
              </w:rPr>
            </w:pPr>
          </w:p>
        </w:tc>
        <w:tc>
          <w:tcPr>
            <w:tcW w:w="52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757,551</w:t>
            </w:r>
          </w:p>
        </w:tc>
      </w:tr>
      <w:tr>
        <w:trPr>
          <w:trHeight w:val="20"/>
        </w:trPr>
        <w:tc>
          <w:tcPr>
            <w:tcW w:w="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-4909185</wp:posOffset>
            </wp:positionH>
            <wp:positionV relativeFrom="paragraph">
              <wp:posOffset>-856615</wp:posOffset>
            </wp:positionV>
            <wp:extent cx="7132320" cy="1371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-4909185</wp:posOffset>
            </wp:positionH>
            <wp:positionV relativeFrom="paragraph">
              <wp:posOffset>-582295</wp:posOffset>
            </wp:positionV>
            <wp:extent cx="7132320" cy="1371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-4909185</wp:posOffset>
            </wp:positionH>
            <wp:positionV relativeFrom="paragraph">
              <wp:posOffset>-307975</wp:posOffset>
            </wp:positionV>
            <wp:extent cx="7132320" cy="1454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020" w:space="720"/>
            <w:col w:w="3500"/>
          </w:cols>
          <w:pgMar w:left="320" w:top="981" w:right="339" w:bottom="1440" w:gutter="0" w:footer="0" w:header="0"/>
          <w:type w:val="continuous"/>
        </w:sectPr>
      </w:pP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540" w:type="dxa"/>
            <w:vAlign w:val="bottom"/>
            <w:shd w:val="clear" w:color="auto" w:fill="CCFFCC"/>
          </w:tcPr>
          <w:p>
            <w:pPr>
              <w:ind w:left="1840"/>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200" w:type="dxa"/>
            <w:vAlign w:val="bottom"/>
            <w:shd w:val="clear" w:color="auto" w:fill="CCFFCC"/>
          </w:tcPr>
          <w:p>
            <w:pPr>
              <w:spacing w:after="0"/>
              <w:rPr>
                <w:sz w:val="18"/>
                <w:szCs w:val="18"/>
                <w:color w:val="auto"/>
              </w:rPr>
            </w:pPr>
          </w:p>
        </w:tc>
        <w:tc>
          <w:tcPr>
            <w:tcW w:w="52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52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shd w:val="clear" w:color="auto" w:fill="CCFFCC"/>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720" w:type="dxa"/>
            <w:vAlign w:val="bottom"/>
            <w:gridSpan w:val="2"/>
            <w:shd w:val="clear" w:color="auto" w:fill="CCFFCC"/>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21,355</w:t>
            </w:r>
          </w:p>
        </w:tc>
        <w:tc>
          <w:tcPr>
            <w:tcW w:w="160" w:type="dxa"/>
            <w:vAlign w:val="bottom"/>
            <w:shd w:val="clear" w:color="auto" w:fill="CCFFCC"/>
          </w:tcPr>
          <w:p>
            <w:pPr>
              <w:spacing w:after="0"/>
              <w:rPr>
                <w:sz w:val="18"/>
                <w:szCs w:val="18"/>
                <w:color w:val="auto"/>
              </w:rPr>
            </w:pPr>
          </w:p>
        </w:tc>
        <w:tc>
          <w:tcPr>
            <w:tcW w:w="640" w:type="dxa"/>
            <w:vAlign w:val="bottom"/>
            <w:gridSpan w:val="2"/>
            <w:shd w:val="clear" w:color="auto" w:fill="CCFFCC"/>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26,615</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59,475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shd w:val="clear" w:color="auto" w:fill="CCFFCC"/>
          </w:tcPr>
          <w:p>
            <w:pPr>
              <w:ind w:left="140"/>
              <w:spacing w:after="0"/>
              <w:rPr>
                <w:sz w:val="20"/>
                <w:szCs w:val="20"/>
                <w:color w:val="auto"/>
              </w:rPr>
            </w:pPr>
            <w:r>
              <w:rPr>
                <w:rFonts w:ascii="Times New Roman" w:cs="Times New Roman" w:eastAsia="Times New Roman" w:hAnsi="Times New Roman"/>
                <w:sz w:val="18"/>
                <w:szCs w:val="18"/>
                <w:color w:val="auto"/>
              </w:rPr>
              <w:t>Accrued and other liabilities</w:t>
            </w:r>
          </w:p>
        </w:tc>
        <w:tc>
          <w:tcPr>
            <w:tcW w:w="200" w:type="dxa"/>
            <w:vAlign w:val="bottom"/>
            <w:shd w:val="clear" w:color="auto" w:fill="CCFFCC"/>
          </w:tcPr>
          <w:p>
            <w:pPr>
              <w:spacing w:after="0"/>
              <w:rPr>
                <w:sz w:val="18"/>
                <w:szCs w:val="18"/>
                <w:color w:val="auto"/>
              </w:rPr>
            </w:pPr>
          </w:p>
        </w:tc>
        <w:tc>
          <w:tcPr>
            <w:tcW w:w="520" w:type="dxa"/>
            <w:vAlign w:val="bottom"/>
            <w:shd w:val="clear" w:color="auto" w:fill="CCFFCC"/>
          </w:tcPr>
          <w:p>
            <w:pPr>
              <w:spacing w:after="0"/>
              <w:rPr>
                <w:sz w:val="18"/>
                <w:szCs w:val="18"/>
                <w:color w:val="auto"/>
              </w:rPr>
            </w:pPr>
          </w:p>
        </w:tc>
        <w:tc>
          <w:tcPr>
            <w:tcW w:w="10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23,589</w:t>
            </w:r>
          </w:p>
        </w:tc>
        <w:tc>
          <w:tcPr>
            <w:tcW w:w="1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520" w:type="dxa"/>
            <w:vAlign w:val="bottom"/>
            <w:shd w:val="clear" w:color="auto" w:fill="CCFFCC"/>
          </w:tcPr>
          <w:p>
            <w:pPr>
              <w:spacing w:after="0"/>
              <w:rPr>
                <w:sz w:val="18"/>
                <w:szCs w:val="18"/>
                <w:color w:val="auto"/>
              </w:rPr>
            </w:pPr>
          </w:p>
        </w:tc>
        <w:tc>
          <w:tcPr>
            <w:tcW w:w="10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22,275</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revenue</w:t>
            </w: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295,903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277,970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tcBorders>
              <w:bottom w:val="single" w:sz="8" w:color="CCFFCC"/>
            </w:tcBorders>
            <w:shd w:val="clear" w:color="auto" w:fill="CCFFCC"/>
          </w:tcPr>
          <w:p>
            <w:pPr>
              <w:ind w:left="140"/>
              <w:spacing w:after="0"/>
              <w:rPr>
                <w:sz w:val="20"/>
                <w:szCs w:val="20"/>
                <w:color w:val="auto"/>
              </w:rPr>
            </w:pPr>
            <w:r>
              <w:rPr>
                <w:rFonts w:ascii="Times New Roman" w:cs="Times New Roman" w:eastAsia="Times New Roman" w:hAnsi="Times New Roman"/>
                <w:sz w:val="18"/>
                <w:szCs w:val="18"/>
                <w:color w:val="auto"/>
              </w:rPr>
              <w:t>Income taxes payable</w:t>
            </w:r>
          </w:p>
        </w:tc>
        <w:tc>
          <w:tcPr>
            <w:tcW w:w="200" w:type="dxa"/>
            <w:vAlign w:val="bottom"/>
            <w:tcBorders>
              <w:bottom w:val="single" w:sz="8" w:color="CCFFCC"/>
            </w:tcBorders>
            <w:shd w:val="clear" w:color="auto" w:fill="CCFFCC"/>
          </w:tcPr>
          <w:p>
            <w:pPr>
              <w:spacing w:after="0"/>
              <w:rPr>
                <w:sz w:val="18"/>
                <w:szCs w:val="18"/>
                <w:color w:val="auto"/>
              </w:rPr>
            </w:pPr>
          </w:p>
        </w:tc>
        <w:tc>
          <w:tcPr>
            <w:tcW w:w="520" w:type="dxa"/>
            <w:vAlign w:val="bottom"/>
            <w:tcBorders>
              <w:bottom w:val="single" w:sz="8" w:color="auto"/>
            </w:tcBorders>
            <w:shd w:val="clear" w:color="auto" w:fill="CCFFCC"/>
          </w:tcPr>
          <w:p>
            <w:pPr>
              <w:spacing w:after="0"/>
              <w:rPr>
                <w:sz w:val="18"/>
                <w:szCs w:val="18"/>
                <w:color w:val="auto"/>
              </w:rPr>
            </w:pPr>
          </w:p>
        </w:tc>
        <w:tc>
          <w:tcPr>
            <w:tcW w:w="104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86</w:t>
            </w:r>
          </w:p>
        </w:tc>
        <w:tc>
          <w:tcPr>
            <w:tcW w:w="160" w:type="dxa"/>
            <w:vAlign w:val="bottom"/>
            <w:tcBorders>
              <w:bottom w:val="single" w:sz="8" w:color="CCFFCC"/>
            </w:tcBorders>
            <w:shd w:val="clear" w:color="auto" w:fill="CCFFCC"/>
          </w:tcPr>
          <w:p>
            <w:pPr>
              <w:spacing w:after="0"/>
              <w:rPr>
                <w:sz w:val="18"/>
                <w:szCs w:val="18"/>
                <w:color w:val="auto"/>
              </w:rPr>
            </w:pPr>
          </w:p>
        </w:tc>
        <w:tc>
          <w:tcPr>
            <w:tcW w:w="120" w:type="dxa"/>
            <w:vAlign w:val="bottom"/>
            <w:tcBorders>
              <w:bottom w:val="single" w:sz="8" w:color="CCFFCC"/>
            </w:tcBorders>
            <w:shd w:val="clear" w:color="auto" w:fill="CCFFCC"/>
          </w:tcPr>
          <w:p>
            <w:pPr>
              <w:spacing w:after="0"/>
              <w:rPr>
                <w:sz w:val="18"/>
                <w:szCs w:val="18"/>
                <w:color w:val="auto"/>
              </w:rPr>
            </w:pPr>
          </w:p>
        </w:tc>
        <w:tc>
          <w:tcPr>
            <w:tcW w:w="520" w:type="dxa"/>
            <w:vAlign w:val="bottom"/>
            <w:tcBorders>
              <w:bottom w:val="single" w:sz="8" w:color="auto"/>
            </w:tcBorders>
            <w:shd w:val="clear" w:color="auto" w:fill="CCFFCC"/>
          </w:tcPr>
          <w:p>
            <w:pPr>
              <w:spacing w:after="0"/>
              <w:rPr>
                <w:sz w:val="18"/>
                <w:szCs w:val="18"/>
                <w:color w:val="auto"/>
              </w:rPr>
            </w:pPr>
          </w:p>
        </w:tc>
        <w:tc>
          <w:tcPr>
            <w:tcW w:w="104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1,264</w:t>
            </w:r>
          </w:p>
        </w:tc>
        <w:tc>
          <w:tcPr>
            <w:tcW w:w="100" w:type="dxa"/>
            <w:vAlign w:val="bottom"/>
            <w:tcBorders>
              <w:bottom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7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400,408</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400,304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7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5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Operating lease liabilities, long-term</w:t>
            </w:r>
          </w:p>
        </w:tc>
        <w:tc>
          <w:tcPr>
            <w:tcW w:w="200" w:type="dxa"/>
            <w:vAlign w:val="bottom"/>
            <w:shd w:val="clear" w:color="auto" w:fill="CCFFCC"/>
          </w:tcPr>
          <w:p>
            <w:pPr>
              <w:spacing w:after="0"/>
              <w:rPr>
                <w:sz w:val="18"/>
                <w:szCs w:val="18"/>
                <w:color w:val="auto"/>
              </w:rPr>
            </w:pPr>
          </w:p>
        </w:tc>
        <w:tc>
          <w:tcPr>
            <w:tcW w:w="520" w:type="dxa"/>
            <w:vAlign w:val="bottom"/>
            <w:shd w:val="clear" w:color="auto" w:fill="CCFFCC"/>
          </w:tcPr>
          <w:p>
            <w:pPr>
              <w:spacing w:after="0"/>
              <w:rPr>
                <w:sz w:val="18"/>
                <w:szCs w:val="18"/>
                <w:color w:val="auto"/>
              </w:rPr>
            </w:pPr>
          </w:p>
        </w:tc>
        <w:tc>
          <w:tcPr>
            <w:tcW w:w="10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47,713</w:t>
            </w:r>
          </w:p>
        </w:tc>
        <w:tc>
          <w:tcPr>
            <w:tcW w:w="1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520" w:type="dxa"/>
            <w:vAlign w:val="bottom"/>
            <w:shd w:val="clear" w:color="auto" w:fill="CCFFCC"/>
          </w:tcPr>
          <w:p>
            <w:pPr>
              <w:spacing w:after="0"/>
              <w:rPr>
                <w:sz w:val="18"/>
                <w:szCs w:val="18"/>
                <w:color w:val="auto"/>
              </w:rPr>
            </w:pPr>
          </w:p>
        </w:tc>
        <w:tc>
          <w:tcPr>
            <w:tcW w:w="10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47,794</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11,486</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10,327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7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5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200" w:type="dxa"/>
            <w:vAlign w:val="bottom"/>
            <w:shd w:val="clear" w:color="auto" w:fill="CCFFCC"/>
          </w:tcPr>
          <w:p>
            <w:pPr>
              <w:spacing w:after="0"/>
              <w:rPr>
                <w:sz w:val="18"/>
                <w:szCs w:val="18"/>
                <w:color w:val="auto"/>
              </w:rPr>
            </w:pPr>
          </w:p>
        </w:tc>
        <w:tc>
          <w:tcPr>
            <w:tcW w:w="52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52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54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Preferred stock, no par value; 20,000,000 shares authorized, no shares issued or outstanding in 2025</w:t>
            </w: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and 2024</w:t>
            </w: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4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7540" w:type="dxa"/>
            <w:vAlign w:val="bottom"/>
            <w:shd w:val="clear" w:color="auto" w:fill="CCFFCC"/>
          </w:tcPr>
          <w:p>
            <w:pPr>
              <w:ind w:left="140"/>
              <w:spacing w:after="0" w:line="198" w:lineRule="exact"/>
              <w:rPr>
                <w:sz w:val="20"/>
                <w:szCs w:val="20"/>
                <w:color w:val="auto"/>
              </w:rPr>
            </w:pPr>
            <w:r>
              <w:rPr>
                <w:rFonts w:ascii="Times New Roman" w:cs="Times New Roman" w:eastAsia="Times New Roman" w:hAnsi="Times New Roman"/>
                <w:sz w:val="18"/>
                <w:szCs w:val="18"/>
                <w:color w:val="auto"/>
              </w:rPr>
              <w:t>Common stock, $0.01 par value; 200,000,000 shares authorized; 60,256,442 and 60,921,191 shares</w:t>
            </w:r>
          </w:p>
        </w:tc>
        <w:tc>
          <w:tcPr>
            <w:tcW w:w="200" w:type="dxa"/>
            <w:vAlign w:val="bottom"/>
            <w:shd w:val="clear" w:color="auto" w:fill="CCFFCC"/>
          </w:tcPr>
          <w:p>
            <w:pPr>
              <w:spacing w:after="0"/>
              <w:rPr>
                <w:sz w:val="17"/>
                <w:szCs w:val="17"/>
                <w:color w:val="auto"/>
              </w:rPr>
            </w:pPr>
          </w:p>
        </w:tc>
        <w:tc>
          <w:tcPr>
            <w:tcW w:w="520" w:type="dxa"/>
            <w:vAlign w:val="bottom"/>
            <w:shd w:val="clear" w:color="auto" w:fill="CCFFCC"/>
          </w:tcPr>
          <w:p>
            <w:pPr>
              <w:spacing w:after="0"/>
              <w:rPr>
                <w:sz w:val="17"/>
                <w:szCs w:val="17"/>
                <w:color w:val="auto"/>
              </w:rPr>
            </w:pPr>
          </w:p>
        </w:tc>
        <w:tc>
          <w:tcPr>
            <w:tcW w:w="1040" w:type="dxa"/>
            <w:vAlign w:val="bottom"/>
            <w:vMerge w:val="restart"/>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602</w:t>
            </w:r>
          </w:p>
        </w:tc>
        <w:tc>
          <w:tcPr>
            <w:tcW w:w="16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520" w:type="dxa"/>
            <w:vAlign w:val="bottom"/>
            <w:shd w:val="clear" w:color="auto" w:fill="CCFFCC"/>
          </w:tcPr>
          <w:p>
            <w:pPr>
              <w:spacing w:after="0"/>
              <w:rPr>
                <w:sz w:val="17"/>
                <w:szCs w:val="17"/>
                <w:color w:val="auto"/>
              </w:rPr>
            </w:pPr>
          </w:p>
        </w:tc>
        <w:tc>
          <w:tcPr>
            <w:tcW w:w="104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540" w:type="dxa"/>
            <w:vAlign w:val="bottom"/>
            <w:shd w:val="clear" w:color="auto" w:fill="CCFFCC"/>
          </w:tcPr>
          <w:p>
            <w:pPr>
              <w:ind w:left="140"/>
              <w:spacing w:after="0"/>
              <w:rPr>
                <w:sz w:val="20"/>
                <w:szCs w:val="20"/>
                <w:color w:val="auto"/>
              </w:rPr>
            </w:pPr>
            <w:r>
              <w:rPr>
                <w:rFonts w:ascii="Times New Roman" w:cs="Times New Roman" w:eastAsia="Times New Roman" w:hAnsi="Times New Roman"/>
                <w:sz w:val="18"/>
                <w:szCs w:val="18"/>
                <w:color w:val="auto"/>
              </w:rPr>
              <w:t>issued and outstanding at September 30, 2025 and December 31, 2024, respectively</w:t>
            </w:r>
          </w:p>
        </w:tc>
        <w:tc>
          <w:tcPr>
            <w:tcW w:w="200" w:type="dxa"/>
            <w:vAlign w:val="bottom"/>
            <w:shd w:val="clear" w:color="auto" w:fill="CCFFCC"/>
          </w:tcPr>
          <w:p>
            <w:pPr>
              <w:spacing w:after="0"/>
              <w:rPr>
                <w:sz w:val="20"/>
                <w:szCs w:val="20"/>
                <w:color w:val="auto"/>
              </w:rPr>
            </w:pPr>
          </w:p>
        </w:tc>
        <w:tc>
          <w:tcPr>
            <w:tcW w:w="520" w:type="dxa"/>
            <w:vAlign w:val="bottom"/>
            <w:shd w:val="clear" w:color="auto" w:fill="CCFFCC"/>
          </w:tcPr>
          <w:p>
            <w:pPr>
              <w:spacing w:after="0"/>
              <w:rPr>
                <w:sz w:val="20"/>
                <w:szCs w:val="20"/>
                <w:color w:val="auto"/>
              </w:rPr>
            </w:pPr>
          </w:p>
        </w:tc>
        <w:tc>
          <w:tcPr>
            <w:tcW w:w="1040" w:type="dxa"/>
            <w:vAlign w:val="bottom"/>
            <w:vMerge w:val="continue"/>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520" w:type="dxa"/>
            <w:vAlign w:val="bottom"/>
            <w:shd w:val="clear" w:color="auto" w:fill="CCFFCC"/>
          </w:tcPr>
          <w:p>
            <w:pPr>
              <w:spacing w:after="0"/>
              <w:rPr>
                <w:sz w:val="20"/>
                <w:szCs w:val="20"/>
                <w:color w:val="auto"/>
              </w:rPr>
            </w:pPr>
          </w:p>
        </w:tc>
        <w:tc>
          <w:tcPr>
            <w:tcW w:w="10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100" w:type="dxa"/>
            <w:vAlign w:val="bottom"/>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Retained earnings</w:t>
            </w: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338,690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329,439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shd w:val="clear" w:color="auto" w:fill="CCFFCC"/>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00" w:type="dxa"/>
            <w:vAlign w:val="bottom"/>
            <w:shd w:val="clear" w:color="auto" w:fill="CCFFCC"/>
          </w:tcPr>
          <w:p>
            <w:pPr>
              <w:spacing w:after="0"/>
              <w:rPr>
                <w:sz w:val="18"/>
                <w:szCs w:val="18"/>
                <w:color w:val="auto"/>
              </w:rPr>
            </w:pPr>
          </w:p>
        </w:tc>
        <w:tc>
          <w:tcPr>
            <w:tcW w:w="52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(30,076)</w:t>
            </w:r>
          </w:p>
        </w:tc>
        <w:tc>
          <w:tcPr>
            <w:tcW w:w="120" w:type="dxa"/>
            <w:vAlign w:val="bottom"/>
            <w:shd w:val="clear" w:color="auto" w:fill="CCFFCC"/>
          </w:tcPr>
          <w:p>
            <w:pPr>
              <w:spacing w:after="0"/>
              <w:rPr>
                <w:sz w:val="18"/>
                <w:szCs w:val="18"/>
                <w:color w:val="auto"/>
              </w:rPr>
            </w:pPr>
          </w:p>
        </w:tc>
        <w:tc>
          <w:tcPr>
            <w:tcW w:w="52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40"/>
              <w:spacing w:after="0"/>
              <w:rPr>
                <w:sz w:val="20"/>
                <w:szCs w:val="20"/>
                <w:color w:val="auto"/>
              </w:rPr>
            </w:pPr>
            <w:r>
              <w:rPr>
                <w:rFonts w:ascii="Times New Roman" w:cs="Times New Roman" w:eastAsia="Times New Roman" w:hAnsi="Times New Roman"/>
                <w:sz w:val="18"/>
                <w:szCs w:val="18"/>
                <w:color w:val="auto"/>
              </w:rPr>
              <w:t>(30,922)</w:t>
            </w:r>
          </w:p>
        </w:tc>
        <w:tc>
          <w:tcPr>
            <w:tcW w:w="0" w:type="dxa"/>
            <w:vAlign w:val="bottom"/>
          </w:tcPr>
          <w:p>
            <w:pPr>
              <w:spacing w:after="0"/>
              <w:rPr>
                <w:sz w:val="1"/>
                <w:szCs w:val="1"/>
                <w:color w:val="auto"/>
              </w:rPr>
            </w:pPr>
          </w:p>
        </w:tc>
      </w:tr>
      <w:tr>
        <w:trPr>
          <w:trHeight w:val="210"/>
        </w:trPr>
        <w:tc>
          <w:tcPr>
            <w:tcW w:w="7540" w:type="dxa"/>
            <w:vAlign w:val="bottom"/>
            <w:tcBorders>
              <w:top w:val="single" w:sz="8" w:color="CCFFCC"/>
            </w:tcBorders>
          </w:tcPr>
          <w:p>
            <w:pPr>
              <w:ind w:left="28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00" w:type="dxa"/>
            <w:vAlign w:val="bottom"/>
            <w:tcBorders>
              <w:top w:val="single" w:sz="8" w:color="CCFFCC"/>
            </w:tcBorders>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309,216</w:t>
            </w:r>
          </w:p>
        </w:tc>
        <w:tc>
          <w:tcPr>
            <w:tcW w:w="160" w:type="dxa"/>
            <w:vAlign w:val="bottom"/>
            <w:tcBorders>
              <w:top w:val="single" w:sz="8" w:color="CCFFCC"/>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299,126</w:t>
            </w: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540" w:type="dxa"/>
            <w:vAlign w:val="bottom"/>
            <w:shd w:val="clear" w:color="auto" w:fill="CCFFCC"/>
          </w:tcPr>
          <w:p>
            <w:pPr>
              <w:ind w:left="28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720" w:type="dxa"/>
            <w:vAlign w:val="bottom"/>
            <w:gridSpan w:val="2"/>
            <w:shd w:val="clear" w:color="auto" w:fill="CCFFCC"/>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768,823</w:t>
            </w:r>
          </w:p>
        </w:tc>
        <w:tc>
          <w:tcPr>
            <w:tcW w:w="160" w:type="dxa"/>
            <w:vAlign w:val="bottom"/>
            <w:shd w:val="clear" w:color="auto" w:fill="CCFFCC"/>
          </w:tcPr>
          <w:p>
            <w:pPr>
              <w:spacing w:after="0"/>
              <w:rPr>
                <w:sz w:val="21"/>
                <w:szCs w:val="21"/>
                <w:color w:val="auto"/>
              </w:rPr>
            </w:pPr>
          </w:p>
        </w:tc>
        <w:tc>
          <w:tcPr>
            <w:tcW w:w="640" w:type="dxa"/>
            <w:vAlign w:val="bottom"/>
            <w:gridSpan w:val="2"/>
            <w:shd w:val="clear" w:color="auto" w:fill="CCFFCC"/>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757,551</w:t>
            </w:r>
          </w:p>
        </w:tc>
        <w:tc>
          <w:tcPr>
            <w:tcW w:w="100" w:type="dxa"/>
            <w:vAlign w:val="bottom"/>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1445"/>
        </w:trPr>
        <w:tc>
          <w:tcPr>
            <w:tcW w:w="7540" w:type="dxa"/>
            <w:vAlign w:val="bottom"/>
            <w:tcBorders>
              <w:top w:val="single" w:sz="8" w:color="CCFFCC"/>
              <w:bottom w:val="single" w:sz="8" w:color="9A9A9A"/>
            </w:tcBorders>
          </w:tcPr>
          <w:p>
            <w:pPr>
              <w:spacing w:after="0"/>
              <w:rPr>
                <w:sz w:val="24"/>
                <w:szCs w:val="24"/>
                <w:color w:val="auto"/>
              </w:rPr>
            </w:pPr>
          </w:p>
        </w:tc>
        <w:tc>
          <w:tcPr>
            <w:tcW w:w="200" w:type="dxa"/>
            <w:vAlign w:val="bottom"/>
            <w:tcBorders>
              <w:top w:val="single" w:sz="8" w:color="CCFFCC"/>
              <w:bottom w:val="single" w:sz="8" w:color="9A9A9A"/>
            </w:tcBorders>
          </w:tcPr>
          <w:p>
            <w:pPr>
              <w:spacing w:after="0"/>
              <w:rPr>
                <w:sz w:val="24"/>
                <w:szCs w:val="24"/>
                <w:color w:val="auto"/>
              </w:rPr>
            </w:pPr>
          </w:p>
        </w:tc>
        <w:tc>
          <w:tcPr>
            <w:tcW w:w="520" w:type="dxa"/>
            <w:vAlign w:val="bottom"/>
            <w:tcBorders>
              <w:top w:val="single" w:sz="8" w:color="auto"/>
              <w:bottom w:val="single" w:sz="8" w:color="9A9A9A"/>
            </w:tcBorders>
          </w:tcPr>
          <w:p>
            <w:pPr>
              <w:spacing w:after="0"/>
              <w:rPr>
                <w:sz w:val="24"/>
                <w:szCs w:val="24"/>
                <w:color w:val="auto"/>
              </w:rPr>
            </w:pPr>
          </w:p>
        </w:tc>
        <w:tc>
          <w:tcPr>
            <w:tcW w:w="1040" w:type="dxa"/>
            <w:vAlign w:val="bottom"/>
            <w:tcBorders>
              <w:top w:val="single" w:sz="8" w:color="auto"/>
              <w:bottom w:val="single" w:sz="8" w:color="9A9A9A"/>
            </w:tcBorders>
          </w:tcPr>
          <w:p>
            <w:pPr>
              <w:spacing w:after="0"/>
              <w:rPr>
                <w:sz w:val="24"/>
                <w:szCs w:val="24"/>
                <w:color w:val="auto"/>
              </w:rPr>
            </w:pPr>
          </w:p>
        </w:tc>
        <w:tc>
          <w:tcPr>
            <w:tcW w:w="160" w:type="dxa"/>
            <w:vAlign w:val="bottom"/>
            <w:tcBorders>
              <w:top w:val="single" w:sz="8" w:color="CCFFCC"/>
              <w:bottom w:val="single" w:sz="8" w:color="9A9A9A"/>
            </w:tcBorders>
          </w:tcPr>
          <w:p>
            <w:pPr>
              <w:spacing w:after="0"/>
              <w:rPr>
                <w:sz w:val="24"/>
                <w:szCs w:val="24"/>
                <w:color w:val="auto"/>
              </w:rPr>
            </w:pPr>
          </w:p>
        </w:tc>
        <w:tc>
          <w:tcPr>
            <w:tcW w:w="120" w:type="dxa"/>
            <w:vAlign w:val="bottom"/>
            <w:tcBorders>
              <w:top w:val="single" w:sz="8" w:color="CCFFCC"/>
              <w:bottom w:val="single" w:sz="8" w:color="9A9A9A"/>
            </w:tcBorders>
          </w:tcPr>
          <w:p>
            <w:pPr>
              <w:spacing w:after="0"/>
              <w:rPr>
                <w:sz w:val="24"/>
                <w:szCs w:val="24"/>
                <w:color w:val="auto"/>
              </w:rPr>
            </w:pPr>
          </w:p>
        </w:tc>
        <w:tc>
          <w:tcPr>
            <w:tcW w:w="520" w:type="dxa"/>
            <w:vAlign w:val="bottom"/>
            <w:tcBorders>
              <w:top w:val="single" w:sz="8" w:color="auto"/>
              <w:bottom w:val="single" w:sz="8" w:color="9A9A9A"/>
            </w:tcBorders>
          </w:tcPr>
          <w:p>
            <w:pPr>
              <w:spacing w:after="0"/>
              <w:rPr>
                <w:sz w:val="24"/>
                <w:szCs w:val="24"/>
                <w:color w:val="auto"/>
              </w:rPr>
            </w:pPr>
          </w:p>
        </w:tc>
        <w:tc>
          <w:tcPr>
            <w:tcW w:w="1040" w:type="dxa"/>
            <w:vAlign w:val="bottom"/>
            <w:tcBorders>
              <w:top w:val="single" w:sz="8" w:color="auto"/>
              <w:bottom w:val="single" w:sz="8" w:color="9A9A9A"/>
            </w:tcBorders>
          </w:tcPr>
          <w:p>
            <w:pPr>
              <w:spacing w:after="0"/>
              <w:rPr>
                <w:sz w:val="24"/>
                <w:szCs w:val="24"/>
                <w:color w:val="auto"/>
              </w:rPr>
            </w:pPr>
          </w:p>
        </w:tc>
        <w:tc>
          <w:tcPr>
            <w:tcW w:w="100" w:type="dxa"/>
            <w:vAlign w:val="bottom"/>
            <w:tcBorders>
              <w:top w:val="single" w:sz="8" w:color="CCFFCC"/>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-2914015</wp:posOffset>
            </wp:positionV>
            <wp:extent cx="685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-2914015</wp:posOffset>
            </wp:positionV>
            <wp:extent cx="685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-1259840</wp:posOffset>
            </wp:positionV>
            <wp:extent cx="685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-1259840</wp:posOffset>
            </wp:positionV>
            <wp:extent cx="685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-967740</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-950595</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-967740</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-950595</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type w:val="continuous"/>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MANHATTAN ASSOCIATES,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360" w:type="dxa"/>
            <w:vAlign w:val="bottom"/>
            <w:gridSpan w:val="5"/>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42"/>
        </w:trPr>
        <w:tc>
          <w:tcPr>
            <w:tcW w:w="762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340" w:type="dxa"/>
            <w:vAlign w:val="bottom"/>
            <w:tcBorders>
              <w:top w:val="single" w:sz="8" w:color="auto"/>
              <w:bottom w:val="single" w:sz="8" w:color="auto"/>
            </w:tcBorders>
          </w:tcPr>
          <w:p>
            <w:pPr>
              <w:jc w:val="right"/>
              <w:ind w:right="57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360" w:type="dxa"/>
            <w:vAlign w:val="bottom"/>
            <w:tcBorders>
              <w:top w:val="single" w:sz="8" w:color="auto"/>
              <w:bottom w:val="single" w:sz="8" w:color="auto"/>
            </w:tcBorders>
          </w:tcPr>
          <w:p>
            <w:pPr>
              <w:jc w:val="right"/>
              <w:ind w:right="59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142"/>
        </w:trPr>
        <w:tc>
          <w:tcPr>
            <w:tcW w:w="7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40" w:type="dxa"/>
            <w:vAlign w:val="bottom"/>
          </w:tcPr>
          <w:p>
            <w:pPr>
              <w:jc w:val="right"/>
              <w:ind w:right="353"/>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tcPr>
          <w:p>
            <w:pPr>
              <w:jc w:val="right"/>
              <w:ind w:right="372"/>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00" w:type="dxa"/>
            <w:vAlign w:val="bottom"/>
          </w:tcPr>
          <w:p>
            <w:pPr>
              <w:spacing w:after="0"/>
              <w:rPr>
                <w:sz w:val="12"/>
                <w:szCs w:val="12"/>
                <w:color w:val="auto"/>
              </w:rPr>
            </w:pPr>
          </w:p>
        </w:tc>
      </w:tr>
      <w:tr>
        <w:trPr>
          <w:trHeight w:val="216"/>
        </w:trPr>
        <w:tc>
          <w:tcPr>
            <w:tcW w:w="762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260" w:type="dxa"/>
            <w:vAlign w:val="bottom"/>
            <w:shd w:val="clear" w:color="auto" w:fill="CCFFCC"/>
          </w:tcPr>
          <w:p>
            <w:pPr>
              <w:spacing w:after="0"/>
              <w:rPr>
                <w:sz w:val="18"/>
                <w:szCs w:val="18"/>
                <w:color w:val="auto"/>
              </w:rPr>
            </w:pPr>
          </w:p>
        </w:tc>
        <w:tc>
          <w:tcPr>
            <w:tcW w:w="134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3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7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167,995</w:t>
            </w:r>
          </w:p>
        </w:tc>
        <w:tc>
          <w:tcPr>
            <w:tcW w:w="300" w:type="dxa"/>
            <w:vAlign w:val="bottom"/>
          </w:tcPr>
          <w:p>
            <w:pPr>
              <w:spacing w:after="0"/>
              <w:rPr>
                <w:sz w:val="18"/>
                <w:szCs w:val="18"/>
                <w:color w:val="auto"/>
              </w:rPr>
            </w:pP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170,348</w:t>
            </w:r>
          </w:p>
        </w:tc>
        <w:tc>
          <w:tcPr>
            <w:tcW w:w="100" w:type="dxa"/>
            <w:vAlign w:val="bottom"/>
          </w:tcPr>
          <w:p>
            <w:pPr>
              <w:spacing w:after="0"/>
              <w:rPr>
                <w:sz w:val="18"/>
                <w:szCs w:val="18"/>
                <w:color w:val="auto"/>
              </w:rPr>
            </w:pPr>
          </w:p>
        </w:tc>
      </w:tr>
      <w:tr>
        <w:trPr>
          <w:trHeight w:val="216"/>
        </w:trPr>
        <w:tc>
          <w:tcPr>
            <w:tcW w:w="7620" w:type="dxa"/>
            <w:vAlign w:val="bottom"/>
            <w:shd w:val="clear" w:color="auto" w:fill="CCFFCC"/>
          </w:tcPr>
          <w:p>
            <w:pPr>
              <w:ind w:left="14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260" w:type="dxa"/>
            <w:vAlign w:val="bottom"/>
            <w:shd w:val="clear" w:color="auto" w:fill="CCFFCC"/>
          </w:tcPr>
          <w:p>
            <w:pPr>
              <w:spacing w:after="0"/>
              <w:rPr>
                <w:sz w:val="18"/>
                <w:szCs w:val="18"/>
                <w:color w:val="auto"/>
              </w:rPr>
            </w:pPr>
          </w:p>
        </w:tc>
        <w:tc>
          <w:tcPr>
            <w:tcW w:w="134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3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76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4,785</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4,670</w:t>
            </w:r>
          </w:p>
        </w:tc>
        <w:tc>
          <w:tcPr>
            <w:tcW w:w="100" w:type="dxa"/>
            <w:vAlign w:val="bottom"/>
          </w:tcPr>
          <w:p>
            <w:pPr>
              <w:spacing w:after="0"/>
              <w:rPr>
                <w:sz w:val="18"/>
                <w:szCs w:val="18"/>
                <w:color w:val="auto"/>
              </w:rPr>
            </w:pPr>
          </w:p>
        </w:tc>
      </w:tr>
      <w:tr>
        <w:trPr>
          <w:trHeight w:val="216"/>
        </w:trPr>
        <w:tc>
          <w:tcPr>
            <w:tcW w:w="7620" w:type="dxa"/>
            <w:vAlign w:val="bottom"/>
            <w:shd w:val="clear" w:color="auto" w:fill="CCFFCC"/>
          </w:tcPr>
          <w:p>
            <w:pPr>
              <w:ind w:left="280"/>
              <w:spacing w:after="0"/>
              <w:rPr>
                <w:sz w:val="20"/>
                <w:szCs w:val="20"/>
                <w:color w:val="auto"/>
              </w:rPr>
            </w:pPr>
            <w:r>
              <w:rPr>
                <w:rFonts w:ascii="Times New Roman" w:cs="Times New Roman" w:eastAsia="Times New Roman" w:hAnsi="Times New Roman"/>
                <w:sz w:val="18"/>
                <w:szCs w:val="18"/>
                <w:color w:val="auto"/>
              </w:rPr>
              <w:t>Equity-based compensation</w:t>
            </w:r>
          </w:p>
        </w:tc>
        <w:tc>
          <w:tcPr>
            <w:tcW w:w="260" w:type="dxa"/>
            <w:vAlign w:val="bottom"/>
            <w:shd w:val="clear" w:color="auto" w:fill="CCFFCC"/>
          </w:tcPr>
          <w:p>
            <w:pPr>
              <w:spacing w:after="0"/>
              <w:rPr>
                <w:sz w:val="18"/>
                <w:szCs w:val="18"/>
                <w:color w:val="auto"/>
              </w:rPr>
            </w:pPr>
          </w:p>
        </w:tc>
        <w:tc>
          <w:tcPr>
            <w:tcW w:w="13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80,678</w:t>
            </w:r>
          </w:p>
        </w:tc>
        <w:tc>
          <w:tcPr>
            <w:tcW w:w="30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3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70,614</w:t>
            </w:r>
          </w:p>
        </w:tc>
        <w:tc>
          <w:tcPr>
            <w:tcW w:w="100" w:type="dxa"/>
            <w:vAlign w:val="bottom"/>
            <w:shd w:val="clear" w:color="auto" w:fill="CCFFCC"/>
          </w:tcPr>
          <w:p>
            <w:pPr>
              <w:spacing w:after="0"/>
              <w:rPr>
                <w:sz w:val="18"/>
                <w:szCs w:val="18"/>
                <w:color w:val="auto"/>
              </w:rPr>
            </w:pPr>
          </w:p>
        </w:tc>
      </w:tr>
      <w:tr>
        <w:trPr>
          <w:trHeight w:val="216"/>
        </w:trPr>
        <w:tc>
          <w:tcPr>
            <w:tcW w:w="76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Gain on disposal of equipment</w:t>
            </w:r>
          </w:p>
        </w:tc>
        <w:tc>
          <w:tcPr>
            <w:tcW w:w="260" w:type="dxa"/>
            <w:vAlign w:val="bottom"/>
          </w:tcPr>
          <w:p>
            <w:pPr>
              <w:spacing w:after="0"/>
              <w:rPr>
                <w:sz w:val="18"/>
                <w:szCs w:val="18"/>
                <w:color w:val="auto"/>
              </w:rPr>
            </w:pPr>
          </w:p>
        </w:tc>
        <w:tc>
          <w:tcPr>
            <w:tcW w:w="16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(22)</w:t>
            </w:r>
          </w:p>
        </w:tc>
        <w:tc>
          <w:tcPr>
            <w:tcW w:w="26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(131)</w:t>
            </w:r>
          </w:p>
        </w:tc>
      </w:tr>
      <w:tr>
        <w:trPr>
          <w:trHeight w:val="216"/>
        </w:trPr>
        <w:tc>
          <w:tcPr>
            <w:tcW w:w="7620" w:type="dxa"/>
            <w:vAlign w:val="bottom"/>
            <w:shd w:val="clear" w:color="auto" w:fill="CCFFCC"/>
          </w:tcPr>
          <w:p>
            <w:pPr>
              <w:ind w:left="280"/>
              <w:spacing w:after="0"/>
              <w:rPr>
                <w:sz w:val="20"/>
                <w:szCs w:val="20"/>
                <w:color w:val="auto"/>
              </w:rPr>
            </w:pPr>
            <w:r>
              <w:rPr>
                <w:rFonts w:ascii="Times New Roman" w:cs="Times New Roman" w:eastAsia="Times New Roman" w:hAnsi="Times New Roman"/>
                <w:sz w:val="18"/>
                <w:szCs w:val="18"/>
                <w:color w:val="auto"/>
              </w:rPr>
              <w:t>Deferred income taxes</w:t>
            </w:r>
          </w:p>
        </w:tc>
        <w:tc>
          <w:tcPr>
            <w:tcW w:w="260" w:type="dxa"/>
            <w:vAlign w:val="bottom"/>
            <w:shd w:val="clear" w:color="auto" w:fill="CCFFCC"/>
          </w:tcPr>
          <w:p>
            <w:pPr>
              <w:spacing w:after="0"/>
              <w:rPr>
                <w:sz w:val="18"/>
                <w:szCs w:val="18"/>
                <w:color w:val="auto"/>
              </w:rPr>
            </w:pPr>
          </w:p>
        </w:tc>
        <w:tc>
          <w:tcPr>
            <w:tcW w:w="13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17,946</w:t>
            </w:r>
          </w:p>
        </w:tc>
        <w:tc>
          <w:tcPr>
            <w:tcW w:w="30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460" w:type="dxa"/>
            <w:vAlign w:val="bottom"/>
            <w:gridSpan w:val="2"/>
            <w:shd w:val="clear" w:color="auto" w:fill="CCFFCC"/>
          </w:tcPr>
          <w:p>
            <w:pPr>
              <w:jc w:val="right"/>
              <w:ind w:right="40"/>
              <w:spacing w:after="0"/>
              <w:rPr>
                <w:sz w:val="20"/>
                <w:szCs w:val="20"/>
                <w:color w:val="auto"/>
              </w:rPr>
            </w:pPr>
            <w:r>
              <w:rPr>
                <w:rFonts w:ascii="Times New Roman" w:cs="Times New Roman" w:eastAsia="Times New Roman" w:hAnsi="Times New Roman"/>
                <w:sz w:val="18"/>
                <w:szCs w:val="18"/>
                <w:color w:val="auto"/>
              </w:rPr>
              <w:t>(20,544)</w:t>
            </w:r>
          </w:p>
        </w:tc>
      </w:tr>
      <w:tr>
        <w:trPr>
          <w:trHeight w:val="216"/>
        </w:trPr>
        <w:tc>
          <w:tcPr>
            <w:tcW w:w="76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Unrealized foreign currency loss</w:t>
            </w:r>
          </w:p>
        </w:tc>
        <w:tc>
          <w:tcPr>
            <w:tcW w:w="2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246</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w:t>
            </w:r>
          </w:p>
        </w:tc>
        <w:tc>
          <w:tcPr>
            <w:tcW w:w="100" w:type="dxa"/>
            <w:vAlign w:val="bottom"/>
          </w:tcPr>
          <w:p>
            <w:pPr>
              <w:spacing w:after="0"/>
              <w:rPr>
                <w:sz w:val="18"/>
                <w:szCs w:val="18"/>
                <w:color w:val="auto"/>
              </w:rPr>
            </w:pPr>
          </w:p>
        </w:tc>
      </w:tr>
      <w:tr>
        <w:trPr>
          <w:trHeight w:val="216"/>
        </w:trPr>
        <w:tc>
          <w:tcPr>
            <w:tcW w:w="7620" w:type="dxa"/>
            <w:vAlign w:val="bottom"/>
            <w:shd w:val="clear" w:color="auto" w:fill="CCFFCC"/>
          </w:tcPr>
          <w:p>
            <w:pPr>
              <w:ind w:left="28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60" w:type="dxa"/>
            <w:vAlign w:val="bottom"/>
            <w:shd w:val="clear" w:color="auto" w:fill="CCFFCC"/>
          </w:tcPr>
          <w:p>
            <w:pPr>
              <w:spacing w:after="0"/>
              <w:rPr>
                <w:sz w:val="18"/>
                <w:szCs w:val="18"/>
                <w:color w:val="auto"/>
              </w:rPr>
            </w:pPr>
          </w:p>
        </w:tc>
        <w:tc>
          <w:tcPr>
            <w:tcW w:w="134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3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76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Accounts receivable, net</w:t>
            </w:r>
          </w:p>
        </w:tc>
        <w:tc>
          <w:tcPr>
            <w:tcW w:w="260" w:type="dxa"/>
            <w:vAlign w:val="bottom"/>
          </w:tcPr>
          <w:p>
            <w:pPr>
              <w:spacing w:after="0"/>
              <w:rPr>
                <w:sz w:val="18"/>
                <w:szCs w:val="18"/>
                <w:color w:val="auto"/>
              </w:rPr>
            </w:pPr>
          </w:p>
        </w:tc>
        <w:tc>
          <w:tcPr>
            <w:tcW w:w="16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(8,865)</w:t>
            </w:r>
          </w:p>
        </w:tc>
        <w:tc>
          <w:tcPr>
            <w:tcW w:w="26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(17,515)</w:t>
            </w:r>
          </w:p>
        </w:tc>
      </w:tr>
      <w:tr>
        <w:trPr>
          <w:trHeight w:val="216"/>
        </w:trPr>
        <w:tc>
          <w:tcPr>
            <w:tcW w:w="7620" w:type="dxa"/>
            <w:vAlign w:val="bottom"/>
            <w:shd w:val="clear" w:color="auto" w:fill="CCFFCC"/>
          </w:tcPr>
          <w:p>
            <w:pPr>
              <w:ind w:left="420"/>
              <w:spacing w:after="0"/>
              <w:rPr>
                <w:sz w:val="20"/>
                <w:szCs w:val="20"/>
                <w:color w:val="auto"/>
              </w:rPr>
            </w:pPr>
            <w:r>
              <w:rPr>
                <w:rFonts w:ascii="Times New Roman" w:cs="Times New Roman" w:eastAsia="Times New Roman" w:hAnsi="Times New Roman"/>
                <w:sz w:val="18"/>
                <w:szCs w:val="18"/>
                <w:color w:val="auto"/>
              </w:rPr>
              <w:t>Other assets</w:t>
            </w:r>
          </w:p>
        </w:tc>
        <w:tc>
          <w:tcPr>
            <w:tcW w:w="260" w:type="dxa"/>
            <w:vAlign w:val="bottom"/>
            <w:shd w:val="clear" w:color="auto" w:fill="CCFFCC"/>
          </w:tcPr>
          <w:p>
            <w:pPr>
              <w:spacing w:after="0"/>
              <w:rPr>
                <w:sz w:val="18"/>
                <w:szCs w:val="18"/>
                <w:color w:val="auto"/>
              </w:rPr>
            </w:pPr>
          </w:p>
        </w:tc>
        <w:tc>
          <w:tcPr>
            <w:tcW w:w="1640" w:type="dxa"/>
            <w:vAlign w:val="bottom"/>
            <w:gridSpan w:val="2"/>
            <w:shd w:val="clear" w:color="auto" w:fill="CCFFCC"/>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(4,311)</w:t>
            </w:r>
          </w:p>
        </w:tc>
        <w:tc>
          <w:tcPr>
            <w:tcW w:w="260" w:type="dxa"/>
            <w:vAlign w:val="bottom"/>
            <w:shd w:val="clear" w:color="auto" w:fill="CCFFCC"/>
          </w:tcPr>
          <w:p>
            <w:pPr>
              <w:spacing w:after="0"/>
              <w:rPr>
                <w:sz w:val="18"/>
                <w:szCs w:val="18"/>
                <w:color w:val="auto"/>
              </w:rPr>
            </w:pPr>
          </w:p>
        </w:tc>
        <w:tc>
          <w:tcPr>
            <w:tcW w:w="1460" w:type="dxa"/>
            <w:vAlign w:val="bottom"/>
            <w:gridSpan w:val="2"/>
            <w:shd w:val="clear" w:color="auto" w:fill="CCFFCC"/>
          </w:tcPr>
          <w:p>
            <w:pPr>
              <w:jc w:val="right"/>
              <w:ind w:right="40"/>
              <w:spacing w:after="0"/>
              <w:rPr>
                <w:sz w:val="20"/>
                <w:szCs w:val="20"/>
                <w:color w:val="auto"/>
              </w:rPr>
            </w:pPr>
            <w:r>
              <w:rPr>
                <w:rFonts w:ascii="Times New Roman" w:cs="Times New Roman" w:eastAsia="Times New Roman" w:hAnsi="Times New Roman"/>
                <w:sz w:val="18"/>
                <w:szCs w:val="18"/>
                <w:color w:val="auto"/>
              </w:rPr>
              <w:t>(9,688)</w:t>
            </w:r>
          </w:p>
        </w:tc>
      </w:tr>
      <w:tr>
        <w:trPr>
          <w:trHeight w:val="216"/>
        </w:trPr>
        <w:tc>
          <w:tcPr>
            <w:tcW w:w="76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Accounts payable, accrued and other liabilities</w:t>
            </w:r>
          </w:p>
        </w:tc>
        <w:tc>
          <w:tcPr>
            <w:tcW w:w="260" w:type="dxa"/>
            <w:vAlign w:val="bottom"/>
          </w:tcPr>
          <w:p>
            <w:pPr>
              <w:spacing w:after="0"/>
              <w:rPr>
                <w:sz w:val="18"/>
                <w:szCs w:val="18"/>
                <w:color w:val="auto"/>
              </w:rPr>
            </w:pPr>
          </w:p>
        </w:tc>
        <w:tc>
          <w:tcPr>
            <w:tcW w:w="16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(18,463)</w:t>
            </w:r>
          </w:p>
        </w:tc>
        <w:tc>
          <w:tcPr>
            <w:tcW w:w="26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(13,367)</w:t>
            </w:r>
          </w:p>
        </w:tc>
      </w:tr>
      <w:tr>
        <w:trPr>
          <w:trHeight w:val="216"/>
        </w:trPr>
        <w:tc>
          <w:tcPr>
            <w:tcW w:w="7620" w:type="dxa"/>
            <w:vAlign w:val="bottom"/>
            <w:shd w:val="clear" w:color="auto" w:fill="CCFFCC"/>
          </w:tcPr>
          <w:p>
            <w:pPr>
              <w:ind w:left="420"/>
              <w:spacing w:after="0"/>
              <w:rPr>
                <w:sz w:val="20"/>
                <w:szCs w:val="20"/>
                <w:color w:val="auto"/>
              </w:rPr>
            </w:pPr>
            <w:r>
              <w:rPr>
                <w:rFonts w:ascii="Times New Roman" w:cs="Times New Roman" w:eastAsia="Times New Roman" w:hAnsi="Times New Roman"/>
                <w:sz w:val="18"/>
                <w:szCs w:val="18"/>
                <w:color w:val="auto"/>
              </w:rPr>
              <w:t>Income taxes</w:t>
            </w:r>
          </w:p>
        </w:tc>
        <w:tc>
          <w:tcPr>
            <w:tcW w:w="260" w:type="dxa"/>
            <w:vAlign w:val="bottom"/>
            <w:shd w:val="clear" w:color="auto" w:fill="CCFFCC"/>
          </w:tcPr>
          <w:p>
            <w:pPr>
              <w:spacing w:after="0"/>
              <w:rPr>
                <w:sz w:val="18"/>
                <w:szCs w:val="18"/>
                <w:color w:val="auto"/>
              </w:rPr>
            </w:pPr>
          </w:p>
        </w:tc>
        <w:tc>
          <w:tcPr>
            <w:tcW w:w="1640" w:type="dxa"/>
            <w:vAlign w:val="bottom"/>
            <w:gridSpan w:val="2"/>
            <w:shd w:val="clear" w:color="auto" w:fill="CCFFCC"/>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(9,840)</w:t>
            </w:r>
          </w:p>
        </w:tc>
        <w:tc>
          <w:tcPr>
            <w:tcW w:w="260" w:type="dxa"/>
            <w:vAlign w:val="bottom"/>
            <w:shd w:val="clear" w:color="auto" w:fill="CCFFCC"/>
          </w:tcPr>
          <w:p>
            <w:pPr>
              <w:spacing w:after="0"/>
              <w:rPr>
                <w:sz w:val="18"/>
                <w:szCs w:val="18"/>
                <w:color w:val="auto"/>
              </w:rPr>
            </w:pPr>
          </w:p>
        </w:tc>
        <w:tc>
          <w:tcPr>
            <w:tcW w:w="1460" w:type="dxa"/>
            <w:vAlign w:val="bottom"/>
            <w:gridSpan w:val="2"/>
            <w:shd w:val="clear" w:color="auto" w:fill="CCFFCC"/>
          </w:tcPr>
          <w:p>
            <w:pPr>
              <w:jc w:val="right"/>
              <w:ind w:right="40"/>
              <w:spacing w:after="0"/>
              <w:rPr>
                <w:sz w:val="20"/>
                <w:szCs w:val="20"/>
                <w:color w:val="auto"/>
              </w:rPr>
            </w:pPr>
            <w:r>
              <w:rPr>
                <w:rFonts w:ascii="Times New Roman" w:cs="Times New Roman" w:eastAsia="Times New Roman" w:hAnsi="Times New Roman"/>
                <w:sz w:val="18"/>
                <w:szCs w:val="18"/>
                <w:color w:val="auto"/>
              </w:rPr>
              <w:t>(7,956)</w:t>
            </w:r>
          </w:p>
        </w:tc>
      </w:tr>
      <w:tr>
        <w:trPr>
          <w:trHeight w:val="216"/>
        </w:trPr>
        <w:tc>
          <w:tcPr>
            <w:tcW w:w="76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Deferred revenue</w:t>
            </w:r>
          </w:p>
        </w:tc>
        <w:tc>
          <w:tcPr>
            <w:tcW w:w="2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12,271</w:t>
            </w:r>
          </w:p>
        </w:tc>
        <w:tc>
          <w:tcPr>
            <w:tcW w:w="3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12,962</w:t>
            </w:r>
          </w:p>
        </w:tc>
        <w:tc>
          <w:tcPr>
            <w:tcW w:w="100" w:type="dxa"/>
            <w:vAlign w:val="bottom"/>
          </w:tcPr>
          <w:p>
            <w:pPr>
              <w:spacing w:after="0"/>
              <w:rPr>
                <w:sz w:val="18"/>
                <w:szCs w:val="18"/>
                <w:color w:val="auto"/>
              </w:rPr>
            </w:pPr>
          </w:p>
        </w:tc>
      </w:tr>
      <w:tr>
        <w:trPr>
          <w:trHeight w:val="210"/>
        </w:trPr>
        <w:tc>
          <w:tcPr>
            <w:tcW w:w="7620" w:type="dxa"/>
            <w:vAlign w:val="bottom"/>
            <w:tcBorders>
              <w:bottom w:val="single" w:sz="8" w:color="CCFFCC"/>
            </w:tcBorders>
            <w:shd w:val="clear" w:color="auto" w:fill="CCFFCC"/>
          </w:tcPr>
          <w:p>
            <w:pPr>
              <w:ind w:left="28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60" w:type="dxa"/>
            <w:vAlign w:val="bottom"/>
            <w:tcBorders>
              <w:bottom w:val="single" w:sz="8" w:color="auto"/>
            </w:tcBorders>
            <w:shd w:val="clear" w:color="auto" w:fill="CCFFCC"/>
          </w:tcPr>
          <w:p>
            <w:pPr>
              <w:spacing w:after="0"/>
              <w:rPr>
                <w:sz w:val="18"/>
                <w:szCs w:val="18"/>
                <w:color w:val="auto"/>
              </w:rPr>
            </w:pPr>
          </w:p>
        </w:tc>
        <w:tc>
          <w:tcPr>
            <w:tcW w:w="134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242,420</w:t>
            </w:r>
          </w:p>
        </w:tc>
        <w:tc>
          <w:tcPr>
            <w:tcW w:w="300" w:type="dxa"/>
            <w:vAlign w:val="bottom"/>
            <w:tcBorders>
              <w:bottom w:val="single" w:sz="8" w:color="CCFFCC"/>
            </w:tcBorders>
            <w:shd w:val="clear" w:color="auto" w:fill="CCFFCC"/>
          </w:tcPr>
          <w:p>
            <w:pPr>
              <w:spacing w:after="0"/>
              <w:rPr>
                <w:sz w:val="18"/>
                <w:szCs w:val="18"/>
                <w:color w:val="auto"/>
              </w:rPr>
            </w:pPr>
          </w:p>
        </w:tc>
        <w:tc>
          <w:tcPr>
            <w:tcW w:w="260" w:type="dxa"/>
            <w:vAlign w:val="bottom"/>
            <w:tcBorders>
              <w:bottom w:val="single" w:sz="8" w:color="auto"/>
            </w:tcBorders>
            <w:shd w:val="clear" w:color="auto" w:fill="CCFFCC"/>
          </w:tcPr>
          <w:p>
            <w:pPr>
              <w:spacing w:after="0"/>
              <w:rPr>
                <w:sz w:val="18"/>
                <w:szCs w:val="18"/>
                <w:color w:val="auto"/>
              </w:rPr>
            </w:pPr>
          </w:p>
        </w:tc>
        <w:tc>
          <w:tcPr>
            <w:tcW w:w="136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190,299</w:t>
            </w:r>
          </w:p>
        </w:tc>
        <w:tc>
          <w:tcPr>
            <w:tcW w:w="100" w:type="dxa"/>
            <w:vAlign w:val="bottom"/>
            <w:tcBorders>
              <w:bottom w:val="single" w:sz="8" w:color="CCFFCC"/>
            </w:tcBorders>
            <w:shd w:val="clear" w:color="auto" w:fill="CCFFCC"/>
          </w:tcPr>
          <w:p>
            <w:pPr>
              <w:spacing w:after="0"/>
              <w:rPr>
                <w:sz w:val="18"/>
                <w:szCs w:val="18"/>
                <w:color w:val="auto"/>
              </w:rPr>
            </w:pPr>
          </w:p>
        </w:tc>
      </w:tr>
      <w:tr>
        <w:trPr>
          <w:trHeight w:val="425"/>
        </w:trPr>
        <w:tc>
          <w:tcPr>
            <w:tcW w:w="7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7620" w:type="dxa"/>
            <w:vAlign w:val="bottom"/>
            <w:shd w:val="clear" w:color="auto" w:fill="CCFFCC"/>
          </w:tcPr>
          <w:p>
            <w:pPr>
              <w:ind w:left="14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260" w:type="dxa"/>
            <w:vAlign w:val="bottom"/>
            <w:shd w:val="clear" w:color="auto" w:fill="CCFFCC"/>
          </w:tcPr>
          <w:p>
            <w:pPr>
              <w:spacing w:after="0"/>
              <w:rPr>
                <w:sz w:val="18"/>
                <w:szCs w:val="18"/>
                <w:color w:val="auto"/>
              </w:rPr>
            </w:pPr>
          </w:p>
        </w:tc>
        <w:tc>
          <w:tcPr>
            <w:tcW w:w="1640" w:type="dxa"/>
            <w:vAlign w:val="bottom"/>
            <w:gridSpan w:val="2"/>
            <w:shd w:val="clear" w:color="auto" w:fill="CCFFCC"/>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(10,799)</w:t>
            </w:r>
          </w:p>
        </w:tc>
        <w:tc>
          <w:tcPr>
            <w:tcW w:w="260" w:type="dxa"/>
            <w:vAlign w:val="bottom"/>
            <w:shd w:val="clear" w:color="auto" w:fill="CCFFCC"/>
          </w:tcPr>
          <w:p>
            <w:pPr>
              <w:spacing w:after="0"/>
              <w:rPr>
                <w:sz w:val="18"/>
                <w:szCs w:val="18"/>
                <w:color w:val="auto"/>
              </w:rPr>
            </w:pPr>
          </w:p>
        </w:tc>
        <w:tc>
          <w:tcPr>
            <w:tcW w:w="1460" w:type="dxa"/>
            <w:vAlign w:val="bottom"/>
            <w:gridSpan w:val="2"/>
            <w:shd w:val="clear" w:color="auto" w:fill="CCFFCC"/>
          </w:tcPr>
          <w:p>
            <w:pPr>
              <w:jc w:val="right"/>
              <w:ind w:right="40"/>
              <w:spacing w:after="0"/>
              <w:rPr>
                <w:sz w:val="20"/>
                <w:szCs w:val="20"/>
                <w:color w:val="auto"/>
              </w:rPr>
            </w:pPr>
            <w:r>
              <w:rPr>
                <w:rFonts w:ascii="Times New Roman" w:cs="Times New Roman" w:eastAsia="Times New Roman" w:hAnsi="Times New Roman"/>
                <w:sz w:val="18"/>
                <w:szCs w:val="18"/>
                <w:color w:val="auto"/>
              </w:rPr>
              <w:t>(5,547)</w:t>
            </w:r>
          </w:p>
        </w:tc>
      </w:tr>
      <w:tr>
        <w:trPr>
          <w:trHeight w:val="209"/>
        </w:trPr>
        <w:tc>
          <w:tcPr>
            <w:tcW w:w="76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6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(10,799)</w:t>
            </w:r>
          </w:p>
        </w:tc>
        <w:tc>
          <w:tcPr>
            <w:tcW w:w="30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(5,547)</w:t>
            </w:r>
          </w:p>
        </w:tc>
        <w:tc>
          <w:tcPr>
            <w:tcW w:w="100" w:type="dxa"/>
            <w:vAlign w:val="bottom"/>
          </w:tcPr>
          <w:p>
            <w:pPr>
              <w:spacing w:after="0"/>
              <w:rPr>
                <w:sz w:val="18"/>
                <w:szCs w:val="18"/>
                <w:color w:val="auto"/>
              </w:rPr>
            </w:pPr>
          </w:p>
        </w:tc>
      </w:tr>
      <w:tr>
        <w:trPr>
          <w:trHeight w:val="425"/>
        </w:trPr>
        <w:tc>
          <w:tcPr>
            <w:tcW w:w="7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7620" w:type="dxa"/>
            <w:vAlign w:val="bottom"/>
            <w:shd w:val="clear" w:color="auto" w:fill="CCFFCC"/>
          </w:tcPr>
          <w:p>
            <w:pPr>
              <w:ind w:left="14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260" w:type="dxa"/>
            <w:vAlign w:val="bottom"/>
            <w:shd w:val="clear" w:color="auto" w:fill="CCFFCC"/>
          </w:tcPr>
          <w:p>
            <w:pPr>
              <w:spacing w:after="0"/>
              <w:rPr>
                <w:sz w:val="18"/>
                <w:szCs w:val="18"/>
                <w:color w:val="auto"/>
              </w:rPr>
            </w:pPr>
          </w:p>
        </w:tc>
        <w:tc>
          <w:tcPr>
            <w:tcW w:w="1640" w:type="dxa"/>
            <w:vAlign w:val="bottom"/>
            <w:gridSpan w:val="2"/>
            <w:shd w:val="clear" w:color="auto" w:fill="CCFFCC"/>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(238,187)</w:t>
            </w:r>
          </w:p>
        </w:tc>
        <w:tc>
          <w:tcPr>
            <w:tcW w:w="260" w:type="dxa"/>
            <w:vAlign w:val="bottom"/>
            <w:shd w:val="clear" w:color="auto" w:fill="CCFFCC"/>
          </w:tcPr>
          <w:p>
            <w:pPr>
              <w:spacing w:after="0"/>
              <w:rPr>
                <w:sz w:val="18"/>
                <w:szCs w:val="18"/>
                <w:color w:val="auto"/>
              </w:rPr>
            </w:pPr>
          </w:p>
        </w:tc>
        <w:tc>
          <w:tcPr>
            <w:tcW w:w="1460" w:type="dxa"/>
            <w:vAlign w:val="bottom"/>
            <w:gridSpan w:val="2"/>
            <w:shd w:val="clear" w:color="auto" w:fill="CCFFCC"/>
          </w:tcPr>
          <w:p>
            <w:pPr>
              <w:jc w:val="right"/>
              <w:ind w:right="40"/>
              <w:spacing w:after="0"/>
              <w:rPr>
                <w:sz w:val="20"/>
                <w:szCs w:val="20"/>
                <w:color w:val="auto"/>
              </w:rPr>
            </w:pPr>
            <w:r>
              <w:rPr>
                <w:rFonts w:ascii="Times New Roman" w:cs="Times New Roman" w:eastAsia="Times New Roman" w:hAnsi="Times New Roman"/>
                <w:sz w:val="18"/>
                <w:szCs w:val="18"/>
                <w:color w:val="auto"/>
              </w:rPr>
              <w:t>(241,150)</w:t>
            </w:r>
          </w:p>
        </w:tc>
      </w:tr>
      <w:tr>
        <w:trPr>
          <w:trHeight w:val="210"/>
        </w:trPr>
        <w:tc>
          <w:tcPr>
            <w:tcW w:w="76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6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(238,187)</w:t>
            </w:r>
          </w:p>
        </w:tc>
        <w:tc>
          <w:tcPr>
            <w:tcW w:w="30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(241,150)</w:t>
            </w:r>
          </w:p>
        </w:tc>
        <w:tc>
          <w:tcPr>
            <w:tcW w:w="100" w:type="dxa"/>
            <w:vAlign w:val="bottom"/>
          </w:tcPr>
          <w:p>
            <w:pPr>
              <w:spacing w:after="0"/>
              <w:rPr>
                <w:sz w:val="18"/>
                <w:szCs w:val="18"/>
                <w:color w:val="auto"/>
              </w:rPr>
            </w:pPr>
          </w:p>
        </w:tc>
      </w:tr>
      <w:tr>
        <w:trPr>
          <w:trHeight w:val="210"/>
        </w:trPr>
        <w:tc>
          <w:tcPr>
            <w:tcW w:w="7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620" w:type="dxa"/>
            <w:vAlign w:val="bottom"/>
            <w:tcBorders>
              <w:bottom w:val="single" w:sz="8" w:color="CCFFCC"/>
            </w:tcBorders>
            <w:shd w:val="clear" w:color="auto" w:fill="CCFFCC"/>
          </w:tcPr>
          <w:p>
            <w:pPr>
              <w:spacing w:after="0"/>
              <w:rPr>
                <w:sz w:val="20"/>
                <w:szCs w:val="20"/>
                <w:color w:val="auto"/>
              </w:rPr>
            </w:pPr>
            <w:r>
              <w:rPr>
                <w:rFonts w:ascii="Times New Roman" w:cs="Times New Roman" w:eastAsia="Times New Roman" w:hAnsi="Times New Roman"/>
                <w:sz w:val="18"/>
                <w:szCs w:val="18"/>
                <w:color w:val="auto"/>
              </w:rPr>
              <w:t>Foreign currency impact on cash</w:t>
            </w:r>
          </w:p>
        </w:tc>
        <w:tc>
          <w:tcPr>
            <w:tcW w:w="260" w:type="dxa"/>
            <w:vAlign w:val="bottom"/>
            <w:tcBorders>
              <w:bottom w:val="single" w:sz="8" w:color="auto"/>
            </w:tcBorders>
            <w:shd w:val="clear" w:color="auto" w:fill="CCFFCC"/>
          </w:tcPr>
          <w:p>
            <w:pPr>
              <w:spacing w:after="0"/>
              <w:rPr>
                <w:sz w:val="18"/>
                <w:szCs w:val="18"/>
                <w:color w:val="auto"/>
              </w:rPr>
            </w:pPr>
          </w:p>
        </w:tc>
        <w:tc>
          <w:tcPr>
            <w:tcW w:w="134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3,891</w:t>
            </w:r>
          </w:p>
        </w:tc>
        <w:tc>
          <w:tcPr>
            <w:tcW w:w="300" w:type="dxa"/>
            <w:vAlign w:val="bottom"/>
            <w:tcBorders>
              <w:bottom w:val="single" w:sz="8" w:color="CCFFCC"/>
            </w:tcBorders>
            <w:shd w:val="clear" w:color="auto" w:fill="CCFFCC"/>
          </w:tcPr>
          <w:p>
            <w:pPr>
              <w:spacing w:after="0"/>
              <w:rPr>
                <w:sz w:val="18"/>
                <w:szCs w:val="18"/>
                <w:color w:val="auto"/>
              </w:rPr>
            </w:pPr>
          </w:p>
        </w:tc>
        <w:tc>
          <w:tcPr>
            <w:tcW w:w="260" w:type="dxa"/>
            <w:vAlign w:val="bottom"/>
            <w:tcBorders>
              <w:bottom w:val="single" w:sz="8" w:color="auto"/>
            </w:tcBorders>
            <w:shd w:val="clear" w:color="auto" w:fill="CCFFCC"/>
          </w:tcPr>
          <w:p>
            <w:pPr>
              <w:spacing w:after="0"/>
              <w:rPr>
                <w:sz w:val="18"/>
                <w:szCs w:val="18"/>
                <w:color w:val="auto"/>
              </w:rPr>
            </w:pPr>
          </w:p>
        </w:tc>
        <w:tc>
          <w:tcPr>
            <w:tcW w:w="136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100" w:type="dxa"/>
            <w:vAlign w:val="bottom"/>
            <w:tcBorders>
              <w:bottom w:val="single" w:sz="8" w:color="CCFFCC"/>
            </w:tcBorders>
            <w:shd w:val="clear" w:color="auto" w:fill="CCFFC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5859780</wp:posOffset>
            </wp:positionH>
            <wp:positionV relativeFrom="paragraph">
              <wp:posOffset>-1422400</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-1422400</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-8255</wp:posOffset>
            </wp:positionV>
            <wp:extent cx="685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change in cash and cash equivalents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56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(2,675)</w:t>
            </w:r>
          </w:p>
        </w:tc>
        <w:tc>
          <w:tcPr>
            <w:tcW w:w="54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(55,789)</w:t>
            </w:r>
          </w:p>
        </w:tc>
      </w:tr>
      <w:tr>
        <w:trPr>
          <w:trHeight w:val="238"/>
        </w:trPr>
        <w:tc>
          <w:tcPr>
            <w:tcW w:w="5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266,230</w:t>
            </w:r>
          </w:p>
        </w:tc>
        <w:tc>
          <w:tcPr>
            <w:tcW w:w="30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270,741</w:t>
            </w:r>
          </w:p>
        </w:tc>
        <w:tc>
          <w:tcPr>
            <w:tcW w:w="60" w:type="dxa"/>
            <w:vAlign w:val="bottom"/>
          </w:tcPr>
          <w:p>
            <w:pPr>
              <w:spacing w:after="0"/>
              <w:rPr>
                <w:sz w:val="20"/>
                <w:szCs w:val="20"/>
                <w:color w:val="auto"/>
              </w:rPr>
            </w:pPr>
          </w:p>
        </w:tc>
      </w:tr>
      <w:tr>
        <w:trPr>
          <w:trHeight w:val="209"/>
        </w:trPr>
        <w:tc>
          <w:tcPr>
            <w:tcW w:w="5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263,555</w:t>
            </w:r>
          </w:p>
        </w:tc>
        <w:tc>
          <w:tcPr>
            <w:tcW w:w="300" w:type="dxa"/>
            <w:vAlign w:val="bottom"/>
          </w:tcPr>
          <w:p>
            <w:pPr>
              <w:spacing w:after="0"/>
              <w:rPr>
                <w:sz w:val="18"/>
                <w:szCs w:val="18"/>
                <w:color w:val="auto"/>
              </w:rPr>
            </w:pPr>
          </w:p>
        </w:tc>
        <w:tc>
          <w:tcPr>
            <w:tcW w:w="54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214,952</w:t>
            </w:r>
          </w:p>
        </w:tc>
        <w:tc>
          <w:tcPr>
            <w:tcW w:w="60" w:type="dxa"/>
            <w:vAlign w:val="bottom"/>
          </w:tcPr>
          <w:p>
            <w:pPr>
              <w:spacing w:after="0"/>
              <w:rPr>
                <w:sz w:val="18"/>
                <w:szCs w:val="18"/>
                <w:color w:val="auto"/>
              </w:rPr>
            </w:pPr>
          </w:p>
        </w:tc>
      </w:tr>
      <w:tr>
        <w:trPr>
          <w:trHeight w:val="20"/>
        </w:trPr>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-4845685</wp:posOffset>
            </wp:positionH>
            <wp:positionV relativeFrom="paragraph">
              <wp:posOffset>913130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-4832985</wp:posOffset>
            </wp:positionH>
            <wp:positionV relativeFrom="paragraph">
              <wp:posOffset>-445135</wp:posOffset>
            </wp:positionV>
            <wp:extent cx="7132320" cy="1371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-4832985</wp:posOffset>
            </wp:positionH>
            <wp:positionV relativeFrom="paragraph">
              <wp:posOffset>-162560</wp:posOffset>
            </wp:positionV>
            <wp:extent cx="7132320" cy="16319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8">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ectPr>
          <w:pgSz w:w="11900" w:h="16838" w:orient="portrait"/>
          <w:cols w:equalWidth="0" w:num="2">
            <w:col w:w="6900" w:space="720"/>
            <w:col w:w="3620"/>
          </w:cols>
          <w:pgMar w:left="320" w:top="981" w:right="3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MANHATTAN ASSOCIATES,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SUPPLEMENTAL INFORMATION</w:t>
      </w:r>
    </w:p>
    <w:p>
      <w:pPr>
        <w:spacing w:after="0" w:line="311" w:lineRule="exact"/>
        <w:rPr>
          <w:sz w:val="20"/>
          <w:szCs w:val="20"/>
          <w:color w:val="auto"/>
        </w:rPr>
      </w:pPr>
    </w:p>
    <w:p>
      <w:pPr>
        <w:ind w:left="360" w:hanging="352"/>
        <w:spacing w:after="0"/>
        <w:tabs>
          <w:tab w:leader="none" w:pos="36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GAAP and adjusted earnings per share by quarter are as follows:</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24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2"/>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2025</w:t>
            </w:r>
          </w:p>
        </w:tc>
        <w:tc>
          <w:tcPr>
            <w:tcW w:w="7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r>
      <w:tr>
        <w:trPr>
          <w:trHeight w:val="142"/>
        </w:trPr>
        <w:tc>
          <w:tcPr>
            <w:tcW w:w="2240" w:type="dxa"/>
            <w:vAlign w:val="bottom"/>
          </w:tcPr>
          <w:p>
            <w:pPr>
              <w:spacing w:after="0"/>
              <w:rPr>
                <w:sz w:val="12"/>
                <w:szCs w:val="12"/>
                <w:color w:val="auto"/>
              </w:rPr>
            </w:pPr>
          </w:p>
        </w:tc>
        <w:tc>
          <w:tcPr>
            <w:tcW w:w="880" w:type="dxa"/>
            <w:vAlign w:val="bottom"/>
            <w:tcBorders>
              <w:bottom w:val="single" w:sz="8" w:color="auto"/>
            </w:tcBorders>
          </w:tcPr>
          <w:p>
            <w:pPr>
              <w:jc w:val="right"/>
              <w:ind w:right="152"/>
              <w:spacing w:after="0" w:line="142" w:lineRule="exact"/>
              <w:rPr>
                <w:sz w:val="20"/>
                <w:szCs w:val="20"/>
                <w:color w:val="auto"/>
              </w:rPr>
            </w:pPr>
            <w:r>
              <w:rPr>
                <w:rFonts w:ascii="Times New Roman" w:cs="Times New Roman" w:eastAsia="Times New Roman" w:hAnsi="Times New Roman"/>
                <w:sz w:val="14"/>
                <w:szCs w:val="14"/>
                <w:b w:val="1"/>
                <w:bCs w:val="1"/>
                <w:color w:val="auto"/>
              </w:rPr>
              <w:t>1st Qtr</w:t>
            </w:r>
          </w:p>
        </w:tc>
        <w:tc>
          <w:tcPr>
            <w:tcW w:w="100" w:type="dxa"/>
            <w:vAlign w:val="bottom"/>
          </w:tcPr>
          <w:p>
            <w:pPr>
              <w:spacing w:after="0"/>
              <w:rPr>
                <w:sz w:val="12"/>
                <w:szCs w:val="12"/>
                <w:color w:val="auto"/>
              </w:rPr>
            </w:pPr>
          </w:p>
        </w:tc>
        <w:tc>
          <w:tcPr>
            <w:tcW w:w="880" w:type="dxa"/>
            <w:vAlign w:val="bottom"/>
            <w:tcBorders>
              <w:bottom w:val="single" w:sz="8" w:color="auto"/>
            </w:tcBorders>
          </w:tcPr>
          <w:p>
            <w:pPr>
              <w:jc w:val="right"/>
              <w:ind w:right="119"/>
              <w:spacing w:after="0" w:line="142" w:lineRule="exact"/>
              <w:rPr>
                <w:sz w:val="20"/>
                <w:szCs w:val="20"/>
                <w:color w:val="auto"/>
              </w:rPr>
            </w:pPr>
            <w:r>
              <w:rPr>
                <w:rFonts w:ascii="Times New Roman" w:cs="Times New Roman" w:eastAsia="Times New Roman" w:hAnsi="Times New Roman"/>
                <w:sz w:val="14"/>
                <w:szCs w:val="14"/>
                <w:b w:val="1"/>
                <w:bCs w:val="1"/>
                <w:color w:val="auto"/>
              </w:rPr>
              <w:t>2nd Qtr</w:t>
            </w:r>
          </w:p>
        </w:tc>
        <w:tc>
          <w:tcPr>
            <w:tcW w:w="100" w:type="dxa"/>
            <w:vAlign w:val="bottom"/>
          </w:tcPr>
          <w:p>
            <w:pPr>
              <w:spacing w:after="0"/>
              <w:rPr>
                <w:sz w:val="12"/>
                <w:szCs w:val="12"/>
                <w:color w:val="auto"/>
              </w:rPr>
            </w:pPr>
          </w:p>
        </w:tc>
        <w:tc>
          <w:tcPr>
            <w:tcW w:w="900" w:type="dxa"/>
            <w:vAlign w:val="bottom"/>
            <w:tcBorders>
              <w:bottom w:val="single" w:sz="8" w:color="auto"/>
            </w:tcBorders>
          </w:tcPr>
          <w:p>
            <w:pPr>
              <w:jc w:val="right"/>
              <w:ind w:right="139"/>
              <w:spacing w:after="0" w:line="142" w:lineRule="exact"/>
              <w:rPr>
                <w:sz w:val="20"/>
                <w:szCs w:val="20"/>
                <w:color w:val="auto"/>
              </w:rPr>
            </w:pPr>
            <w:r>
              <w:rPr>
                <w:rFonts w:ascii="Times New Roman" w:cs="Times New Roman" w:eastAsia="Times New Roman" w:hAnsi="Times New Roman"/>
                <w:sz w:val="14"/>
                <w:szCs w:val="14"/>
                <w:b w:val="1"/>
                <w:bCs w:val="1"/>
                <w:color w:val="auto"/>
              </w:rPr>
              <w:t>3rd Qtr</w:t>
            </w:r>
          </w:p>
        </w:tc>
        <w:tc>
          <w:tcPr>
            <w:tcW w:w="100" w:type="dxa"/>
            <w:vAlign w:val="bottom"/>
          </w:tcPr>
          <w:p>
            <w:pPr>
              <w:spacing w:after="0"/>
              <w:rPr>
                <w:sz w:val="12"/>
                <w:szCs w:val="12"/>
                <w:color w:val="auto"/>
              </w:rPr>
            </w:pPr>
          </w:p>
        </w:tc>
        <w:tc>
          <w:tcPr>
            <w:tcW w:w="900" w:type="dxa"/>
            <w:vAlign w:val="bottom"/>
            <w:tcBorders>
              <w:bottom w:val="single" w:sz="8" w:color="auto"/>
            </w:tcBorders>
          </w:tcPr>
          <w:p>
            <w:pPr>
              <w:jc w:val="right"/>
              <w:ind w:right="139"/>
              <w:spacing w:after="0" w:line="142" w:lineRule="exact"/>
              <w:rPr>
                <w:sz w:val="20"/>
                <w:szCs w:val="20"/>
                <w:color w:val="auto"/>
              </w:rPr>
            </w:pPr>
            <w:r>
              <w:rPr>
                <w:rFonts w:ascii="Times New Roman" w:cs="Times New Roman" w:eastAsia="Times New Roman" w:hAnsi="Times New Roman"/>
                <w:sz w:val="14"/>
                <w:szCs w:val="14"/>
                <w:b w:val="1"/>
                <w:bCs w:val="1"/>
                <w:color w:val="auto"/>
              </w:rPr>
              <w:t>4th Qtr</w:t>
            </w:r>
          </w:p>
        </w:tc>
        <w:tc>
          <w:tcPr>
            <w:tcW w:w="100" w:type="dxa"/>
            <w:vAlign w:val="bottom"/>
          </w:tcPr>
          <w:p>
            <w:pPr>
              <w:spacing w:after="0"/>
              <w:rPr>
                <w:sz w:val="12"/>
                <w:szCs w:val="12"/>
                <w:color w:val="auto"/>
              </w:rPr>
            </w:pPr>
          </w:p>
        </w:tc>
        <w:tc>
          <w:tcPr>
            <w:tcW w:w="900" w:type="dxa"/>
            <w:vAlign w:val="bottom"/>
            <w:tcBorders>
              <w:bottom w:val="single" w:sz="8" w:color="auto"/>
            </w:tcBorders>
          </w:tcPr>
          <w:p>
            <w:pPr>
              <w:jc w:val="right"/>
              <w:ind w:right="79"/>
              <w:spacing w:after="0" w:line="142" w:lineRule="exact"/>
              <w:rPr>
                <w:sz w:val="20"/>
                <w:szCs w:val="20"/>
                <w:color w:val="auto"/>
              </w:rPr>
            </w:pPr>
            <w:r>
              <w:rPr>
                <w:rFonts w:ascii="Times New Roman" w:cs="Times New Roman" w:eastAsia="Times New Roman" w:hAnsi="Times New Roman"/>
                <w:sz w:val="14"/>
                <w:szCs w:val="14"/>
                <w:b w:val="1"/>
                <w:bCs w:val="1"/>
                <w:color w:val="auto"/>
              </w:rPr>
              <w:t>Full Year</w:t>
            </w:r>
          </w:p>
        </w:tc>
        <w:tc>
          <w:tcPr>
            <w:tcW w:w="100" w:type="dxa"/>
            <w:vAlign w:val="bottom"/>
          </w:tcPr>
          <w:p>
            <w:pPr>
              <w:spacing w:after="0"/>
              <w:rPr>
                <w:sz w:val="12"/>
                <w:szCs w:val="12"/>
                <w:color w:val="auto"/>
              </w:rPr>
            </w:pPr>
          </w:p>
        </w:tc>
        <w:tc>
          <w:tcPr>
            <w:tcW w:w="900" w:type="dxa"/>
            <w:vAlign w:val="bottom"/>
            <w:tcBorders>
              <w:bottom w:val="single" w:sz="8" w:color="auto"/>
            </w:tcBorders>
          </w:tcPr>
          <w:p>
            <w:pPr>
              <w:jc w:val="right"/>
              <w:ind w:right="159"/>
              <w:spacing w:after="0" w:line="142" w:lineRule="exact"/>
              <w:rPr>
                <w:sz w:val="20"/>
                <w:szCs w:val="20"/>
                <w:color w:val="auto"/>
              </w:rPr>
            </w:pPr>
            <w:r>
              <w:rPr>
                <w:rFonts w:ascii="Times New Roman" w:cs="Times New Roman" w:eastAsia="Times New Roman" w:hAnsi="Times New Roman"/>
                <w:sz w:val="14"/>
                <w:szCs w:val="14"/>
                <w:b w:val="1"/>
                <w:bCs w:val="1"/>
                <w:color w:val="auto"/>
              </w:rPr>
              <w:t>1st Qtr</w:t>
            </w:r>
          </w:p>
        </w:tc>
        <w:tc>
          <w:tcPr>
            <w:tcW w:w="120" w:type="dxa"/>
            <w:vAlign w:val="bottom"/>
          </w:tcPr>
          <w:p>
            <w:pPr>
              <w:spacing w:after="0"/>
              <w:rPr>
                <w:sz w:val="12"/>
                <w:szCs w:val="12"/>
                <w:color w:val="auto"/>
              </w:rPr>
            </w:pPr>
          </w:p>
        </w:tc>
        <w:tc>
          <w:tcPr>
            <w:tcW w:w="1000" w:type="dxa"/>
            <w:vAlign w:val="bottom"/>
            <w:tcBorders>
              <w:bottom w:val="single" w:sz="8" w:color="auto"/>
            </w:tcBorders>
          </w:tcPr>
          <w:p>
            <w:pPr>
              <w:jc w:val="right"/>
              <w:ind w:right="179"/>
              <w:spacing w:after="0" w:line="142" w:lineRule="exact"/>
              <w:rPr>
                <w:sz w:val="20"/>
                <w:szCs w:val="20"/>
                <w:color w:val="auto"/>
              </w:rPr>
            </w:pPr>
            <w:r>
              <w:rPr>
                <w:rFonts w:ascii="Times New Roman" w:cs="Times New Roman" w:eastAsia="Times New Roman" w:hAnsi="Times New Roman"/>
                <w:sz w:val="14"/>
                <w:szCs w:val="14"/>
                <w:b w:val="1"/>
                <w:bCs w:val="1"/>
                <w:color w:val="auto"/>
              </w:rPr>
              <w:t>2nd Qtr</w:t>
            </w: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132"/>
              <w:spacing w:after="0" w:line="142" w:lineRule="exact"/>
              <w:rPr>
                <w:sz w:val="20"/>
                <w:szCs w:val="20"/>
                <w:color w:val="auto"/>
              </w:rPr>
            </w:pPr>
            <w:r>
              <w:rPr>
                <w:rFonts w:ascii="Times New Roman" w:cs="Times New Roman" w:eastAsia="Times New Roman" w:hAnsi="Times New Roman"/>
                <w:sz w:val="14"/>
                <w:szCs w:val="14"/>
                <w:b w:val="1"/>
                <w:bCs w:val="1"/>
                <w:color w:val="auto"/>
              </w:rPr>
              <w:t>3rd Qtr</w:t>
            </w:r>
          </w:p>
        </w:tc>
        <w:tc>
          <w:tcPr>
            <w:tcW w:w="100" w:type="dxa"/>
            <w:vAlign w:val="bottom"/>
          </w:tcPr>
          <w:p>
            <w:pPr>
              <w:spacing w:after="0"/>
              <w:rPr>
                <w:sz w:val="12"/>
                <w:szCs w:val="12"/>
                <w:color w:val="auto"/>
              </w:rPr>
            </w:pPr>
          </w:p>
        </w:tc>
        <w:tc>
          <w:tcPr>
            <w:tcW w:w="920" w:type="dxa"/>
            <w:vAlign w:val="bottom"/>
            <w:tcBorders>
              <w:bottom w:val="single" w:sz="8" w:color="auto"/>
            </w:tcBorders>
          </w:tcPr>
          <w:p>
            <w:pPr>
              <w:jc w:val="right"/>
              <w:ind w:right="239"/>
              <w:spacing w:after="0" w:line="142" w:lineRule="exact"/>
              <w:rPr>
                <w:sz w:val="20"/>
                <w:szCs w:val="20"/>
                <w:color w:val="auto"/>
              </w:rPr>
            </w:pPr>
            <w:r>
              <w:rPr>
                <w:rFonts w:ascii="Times New Roman" w:cs="Times New Roman" w:eastAsia="Times New Roman" w:hAnsi="Times New Roman"/>
                <w:sz w:val="14"/>
                <w:szCs w:val="14"/>
                <w:b w:val="1"/>
                <w:bCs w:val="1"/>
                <w:color w:val="auto"/>
              </w:rPr>
              <w:t>YTD</w:t>
            </w:r>
          </w:p>
        </w:tc>
      </w:tr>
      <w:tr>
        <w:trPr>
          <w:trHeight w:val="209"/>
        </w:trPr>
        <w:tc>
          <w:tcPr>
            <w:tcW w:w="22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b w:val="1"/>
                <w:bCs w:val="1"/>
                <w:color w:val="auto"/>
              </w:rPr>
              <w:t>GAAP Diluted EPS</w:t>
            </w:r>
          </w:p>
        </w:tc>
        <w:tc>
          <w:tcPr>
            <w:tcW w:w="8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$0.86</w:t>
            </w:r>
          </w:p>
        </w:tc>
        <w:tc>
          <w:tcPr>
            <w:tcW w:w="98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$0.85</w:t>
            </w:r>
          </w:p>
        </w:tc>
        <w:tc>
          <w:tcPr>
            <w:tcW w:w="10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$1.03</w:t>
            </w:r>
          </w:p>
        </w:tc>
        <w:tc>
          <w:tcPr>
            <w:tcW w:w="10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$0.77</w:t>
            </w:r>
          </w:p>
        </w:tc>
        <w:tc>
          <w:tcPr>
            <w:tcW w:w="10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$3.51</w:t>
            </w:r>
          </w:p>
        </w:tc>
        <w:tc>
          <w:tcPr>
            <w:tcW w:w="10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$0.85</w:t>
            </w:r>
          </w:p>
        </w:tc>
        <w:tc>
          <w:tcPr>
            <w:tcW w:w="112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$0.93</w:t>
            </w: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7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$0.96</w:t>
            </w:r>
          </w:p>
        </w:tc>
        <w:tc>
          <w:tcPr>
            <w:tcW w:w="102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$2.75</w:t>
            </w:r>
          </w:p>
        </w:tc>
      </w:tr>
      <w:tr>
        <w:trPr>
          <w:trHeight w:val="216"/>
        </w:trPr>
        <w:tc>
          <w:tcPr>
            <w:tcW w:w="2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Adjustments to GAAP:</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2240" w:type="dxa"/>
            <w:vAlign w:val="bottom"/>
            <w:shd w:val="clear" w:color="auto" w:fill="CCFFCC"/>
          </w:tcPr>
          <w:p>
            <w:pPr>
              <w:ind w:left="40"/>
              <w:spacing w:after="0"/>
              <w:rPr>
                <w:sz w:val="20"/>
                <w:szCs w:val="20"/>
                <w:color w:val="auto"/>
              </w:rPr>
            </w:pPr>
            <w:r>
              <w:rPr>
                <w:rFonts w:ascii="Times New Roman" w:cs="Times New Roman" w:eastAsia="Times New Roman" w:hAnsi="Times New Roman"/>
                <w:sz w:val="18"/>
                <w:szCs w:val="18"/>
                <w:color w:val="auto"/>
              </w:rPr>
              <w:t>Equity-based compensation</w:t>
            </w:r>
          </w:p>
        </w:tc>
        <w:tc>
          <w:tcPr>
            <w:tcW w:w="8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98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0.34</w:t>
            </w:r>
          </w:p>
        </w:tc>
        <w:tc>
          <w:tcPr>
            <w:tcW w:w="10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10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10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112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7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102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198"/>
        </w:trPr>
        <w:tc>
          <w:tcPr>
            <w:tcW w:w="2240" w:type="dxa"/>
            <w:vAlign w:val="bottom"/>
          </w:tcPr>
          <w:p>
            <w:pPr>
              <w:ind w:left="40"/>
              <w:spacing w:after="0" w:line="198" w:lineRule="exact"/>
              <w:rPr>
                <w:sz w:val="20"/>
                <w:szCs w:val="20"/>
                <w:color w:val="auto"/>
              </w:rPr>
            </w:pPr>
            <w:r>
              <w:rPr>
                <w:rFonts w:ascii="Times New Roman" w:cs="Times New Roman" w:eastAsia="Times New Roman" w:hAnsi="Times New Roman"/>
                <w:sz w:val="18"/>
                <w:szCs w:val="18"/>
                <w:color w:val="auto"/>
              </w:rPr>
              <w:t>Tax benefit of stock awards</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34"/>
        </w:trPr>
        <w:tc>
          <w:tcPr>
            <w:tcW w:w="2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vested</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(0.06)</w:t>
            </w:r>
          </w:p>
        </w:tc>
      </w:tr>
      <w:tr>
        <w:trPr>
          <w:trHeight w:val="216"/>
        </w:trPr>
        <w:tc>
          <w:tcPr>
            <w:tcW w:w="2240" w:type="dxa"/>
            <w:vAlign w:val="bottom"/>
            <w:shd w:val="clear" w:color="auto" w:fill="CCFFCC"/>
          </w:tcPr>
          <w:p>
            <w:pPr>
              <w:ind w:left="40"/>
              <w:spacing w:after="0"/>
              <w:rPr>
                <w:sz w:val="20"/>
                <w:szCs w:val="20"/>
                <w:color w:val="auto"/>
              </w:rPr>
            </w:pPr>
            <w:r>
              <w:rPr>
                <w:rFonts w:ascii="Times New Roman" w:cs="Times New Roman" w:eastAsia="Times New Roman" w:hAnsi="Times New Roman"/>
                <w:sz w:val="18"/>
                <w:szCs w:val="18"/>
                <w:color w:val="auto"/>
              </w:rPr>
              <w:t>Restructuring expense</w:t>
            </w:r>
          </w:p>
        </w:tc>
        <w:tc>
          <w:tcPr>
            <w:tcW w:w="8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12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7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0.04</w:t>
            </w:r>
          </w:p>
        </w:tc>
      </w:tr>
      <w:tr>
        <w:trPr>
          <w:trHeight w:val="198"/>
        </w:trPr>
        <w:tc>
          <w:tcPr>
            <w:tcW w:w="2240" w:type="dxa"/>
            <w:vAlign w:val="bottom"/>
          </w:tcPr>
          <w:p>
            <w:pPr>
              <w:ind w:left="40"/>
              <w:spacing w:after="0" w:line="198" w:lineRule="exact"/>
              <w:rPr>
                <w:sz w:val="20"/>
                <w:szCs w:val="20"/>
                <w:color w:val="auto"/>
              </w:rPr>
            </w:pPr>
            <w:r>
              <w:rPr>
                <w:rFonts w:ascii="Times New Roman" w:cs="Times New Roman" w:eastAsia="Times New Roman" w:hAnsi="Times New Roman"/>
                <w:sz w:val="18"/>
                <w:szCs w:val="18"/>
                <w:color w:val="auto"/>
              </w:rPr>
              <w:t>Unusual health insurance</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34"/>
        </w:trPr>
        <w:tc>
          <w:tcPr>
            <w:tcW w:w="2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claim</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(0.01)</w:t>
            </w:r>
          </w:p>
        </w:tc>
      </w:tr>
      <w:tr>
        <w:trPr>
          <w:trHeight w:val="249"/>
        </w:trPr>
        <w:tc>
          <w:tcPr>
            <w:tcW w:w="2240" w:type="dxa"/>
            <w:vAlign w:val="bottom"/>
            <w:tcBorders>
              <w:top w:val="single" w:sz="8" w:color="CCFFCC"/>
              <w:bottom w:val="single" w:sz="8" w:color="CCFFCC"/>
            </w:tcBorders>
            <w:shd w:val="clear" w:color="auto" w:fill="CCFFCC"/>
          </w:tcPr>
          <w:p>
            <w:pPr>
              <w:ind w:left="60"/>
              <w:spacing w:after="0"/>
              <w:rPr>
                <w:sz w:val="20"/>
                <w:szCs w:val="20"/>
                <w:color w:val="auto"/>
              </w:rPr>
            </w:pPr>
            <w:r>
              <w:rPr>
                <w:rFonts w:ascii="Times New Roman" w:cs="Times New Roman" w:eastAsia="Times New Roman" w:hAnsi="Times New Roman"/>
                <w:sz w:val="18"/>
                <w:szCs w:val="18"/>
                <w:color w:val="auto"/>
              </w:rPr>
              <w:t>Adjusted Diluted EPS</w:t>
            </w:r>
          </w:p>
        </w:tc>
        <w:tc>
          <w:tcPr>
            <w:tcW w:w="8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$1.03</w:t>
            </w:r>
          </w:p>
        </w:tc>
        <w:tc>
          <w:tcPr>
            <w:tcW w:w="100" w:type="dxa"/>
            <w:vAlign w:val="bottom"/>
            <w:tcBorders>
              <w:top w:val="single" w:sz="8" w:color="CCFFCC"/>
              <w:bottom w:val="single" w:sz="8" w:color="CCFFCC"/>
            </w:tcBorders>
            <w:shd w:val="clear" w:color="auto" w:fill="CCFFCC"/>
          </w:tcPr>
          <w:p>
            <w:pPr>
              <w:spacing w:after="0"/>
              <w:rPr>
                <w:sz w:val="21"/>
                <w:szCs w:val="21"/>
                <w:color w:val="auto"/>
              </w:rPr>
            </w:pPr>
          </w:p>
        </w:tc>
        <w:tc>
          <w:tcPr>
            <w:tcW w:w="8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$1.18</w:t>
            </w:r>
          </w:p>
        </w:tc>
        <w:tc>
          <w:tcPr>
            <w:tcW w:w="100" w:type="dxa"/>
            <w:vAlign w:val="bottom"/>
            <w:tcBorders>
              <w:top w:val="single" w:sz="8" w:color="CCFFCC"/>
              <w:bottom w:val="single" w:sz="8" w:color="CCFFCC"/>
            </w:tcBorders>
            <w:shd w:val="clear" w:color="auto" w:fill="CCFFCC"/>
          </w:tcPr>
          <w:p>
            <w:pPr>
              <w:spacing w:after="0"/>
              <w:rPr>
                <w:sz w:val="21"/>
                <w:szCs w:val="21"/>
                <w:color w:val="auto"/>
              </w:rPr>
            </w:pPr>
          </w:p>
        </w:tc>
        <w:tc>
          <w:tcPr>
            <w:tcW w:w="9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$1.35</w:t>
            </w:r>
          </w:p>
        </w:tc>
        <w:tc>
          <w:tcPr>
            <w:tcW w:w="100" w:type="dxa"/>
            <w:vAlign w:val="bottom"/>
            <w:tcBorders>
              <w:top w:val="single" w:sz="8" w:color="CCFFCC"/>
              <w:bottom w:val="single" w:sz="8" w:color="CCFFCC"/>
            </w:tcBorders>
            <w:shd w:val="clear" w:color="auto" w:fill="CCFFCC"/>
          </w:tcPr>
          <w:p>
            <w:pPr>
              <w:spacing w:after="0"/>
              <w:rPr>
                <w:sz w:val="21"/>
                <w:szCs w:val="21"/>
                <w:color w:val="auto"/>
              </w:rPr>
            </w:pPr>
          </w:p>
        </w:tc>
        <w:tc>
          <w:tcPr>
            <w:tcW w:w="9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$1.17</w:t>
            </w:r>
          </w:p>
        </w:tc>
        <w:tc>
          <w:tcPr>
            <w:tcW w:w="100" w:type="dxa"/>
            <w:vAlign w:val="bottom"/>
            <w:tcBorders>
              <w:top w:val="single" w:sz="8" w:color="CCFFCC"/>
              <w:bottom w:val="single" w:sz="8" w:color="CCFFCC"/>
            </w:tcBorders>
            <w:shd w:val="clear" w:color="auto" w:fill="CCFFCC"/>
          </w:tcPr>
          <w:p>
            <w:pPr>
              <w:spacing w:after="0"/>
              <w:rPr>
                <w:sz w:val="21"/>
                <w:szCs w:val="21"/>
                <w:color w:val="auto"/>
              </w:rPr>
            </w:pPr>
          </w:p>
        </w:tc>
        <w:tc>
          <w:tcPr>
            <w:tcW w:w="9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$4.72</w:t>
            </w:r>
          </w:p>
        </w:tc>
        <w:tc>
          <w:tcPr>
            <w:tcW w:w="100" w:type="dxa"/>
            <w:vAlign w:val="bottom"/>
            <w:tcBorders>
              <w:top w:val="single" w:sz="8" w:color="CCFFCC"/>
              <w:bottom w:val="single" w:sz="8" w:color="CCFFCC"/>
            </w:tcBorders>
            <w:shd w:val="clear" w:color="auto" w:fill="CCFFCC"/>
          </w:tcPr>
          <w:p>
            <w:pPr>
              <w:spacing w:after="0"/>
              <w:rPr>
                <w:sz w:val="21"/>
                <w:szCs w:val="21"/>
                <w:color w:val="auto"/>
              </w:rPr>
            </w:pPr>
          </w:p>
        </w:tc>
        <w:tc>
          <w:tcPr>
            <w:tcW w:w="9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$1.19</w:t>
            </w:r>
          </w:p>
        </w:tc>
        <w:tc>
          <w:tcPr>
            <w:tcW w:w="120" w:type="dxa"/>
            <w:vAlign w:val="bottom"/>
            <w:tcBorders>
              <w:top w:val="single" w:sz="8" w:color="CCFFCC"/>
              <w:bottom w:val="single" w:sz="8" w:color="CCFFCC"/>
            </w:tcBorders>
            <w:shd w:val="clear" w:color="auto" w:fill="CCFFCC"/>
          </w:tcPr>
          <w:p>
            <w:pPr>
              <w:spacing w:after="0"/>
              <w:rPr>
                <w:sz w:val="21"/>
                <w:szCs w:val="21"/>
                <w:color w:val="auto"/>
              </w:rPr>
            </w:pPr>
          </w:p>
        </w:tc>
        <w:tc>
          <w:tcPr>
            <w:tcW w:w="10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$1.31</w:t>
            </w:r>
          </w:p>
        </w:tc>
        <w:tc>
          <w:tcPr>
            <w:tcW w:w="100" w:type="dxa"/>
            <w:vAlign w:val="bottom"/>
            <w:tcBorders>
              <w:top w:val="single" w:sz="8" w:color="CCFFCC"/>
              <w:bottom w:val="single" w:sz="8" w:color="CCFFCC"/>
            </w:tcBorders>
            <w:shd w:val="clear" w:color="auto" w:fill="CCFFCC"/>
          </w:tcPr>
          <w:p>
            <w:pPr>
              <w:spacing w:after="0"/>
              <w:rPr>
                <w:sz w:val="21"/>
                <w:szCs w:val="21"/>
                <w:color w:val="auto"/>
              </w:rPr>
            </w:pPr>
          </w:p>
        </w:tc>
        <w:tc>
          <w:tcPr>
            <w:tcW w:w="120" w:type="dxa"/>
            <w:vAlign w:val="bottom"/>
            <w:tcBorders>
              <w:top w:val="single" w:sz="8" w:color="auto"/>
              <w:bottom w:val="single" w:sz="8" w:color="auto"/>
            </w:tcBorders>
            <w:shd w:val="clear" w:color="auto" w:fill="CCFFCC"/>
          </w:tcPr>
          <w:p>
            <w:pPr>
              <w:spacing w:after="0"/>
              <w:rPr>
                <w:sz w:val="21"/>
                <w:szCs w:val="21"/>
                <w:color w:val="auto"/>
              </w:rPr>
            </w:pPr>
          </w:p>
        </w:tc>
        <w:tc>
          <w:tcPr>
            <w:tcW w:w="7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$1.36</w:t>
            </w:r>
          </w:p>
        </w:tc>
        <w:tc>
          <w:tcPr>
            <w:tcW w:w="100" w:type="dxa"/>
            <w:vAlign w:val="bottom"/>
            <w:tcBorders>
              <w:top w:val="single" w:sz="8" w:color="CCFFCC"/>
              <w:bottom w:val="single" w:sz="8" w:color="CCFFCC"/>
            </w:tcBorders>
            <w:shd w:val="clear" w:color="auto" w:fill="CCFFCC"/>
          </w:tcPr>
          <w:p>
            <w:pPr>
              <w:spacing w:after="0"/>
              <w:rPr>
                <w:sz w:val="21"/>
                <w:szCs w:val="21"/>
                <w:color w:val="auto"/>
              </w:rPr>
            </w:pPr>
          </w:p>
        </w:tc>
        <w:tc>
          <w:tcPr>
            <w:tcW w:w="9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$3.85</w:t>
            </w:r>
          </w:p>
        </w:tc>
      </w:tr>
      <w:tr>
        <w:trPr>
          <w:trHeight w:val="219"/>
        </w:trPr>
        <w:tc>
          <w:tcPr>
            <w:tcW w:w="2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Fully Diluted Shares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62,493</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62,118</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61,948</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62,009</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62,183</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61,527</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61,074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60,954</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61,183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1976755</wp:posOffset>
            </wp:positionH>
            <wp:positionV relativeFrom="paragraph">
              <wp:posOffset>-176530</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-159385</wp:posOffset>
            </wp:positionV>
            <wp:extent cx="685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-321945</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2602230</wp:posOffset>
            </wp:positionH>
            <wp:positionV relativeFrom="paragraph">
              <wp:posOffset>-176530</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2602230</wp:posOffset>
            </wp:positionH>
            <wp:positionV relativeFrom="paragraph">
              <wp:posOffset>-159385</wp:posOffset>
            </wp:positionV>
            <wp:extent cx="6858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2602230</wp:posOffset>
            </wp:positionH>
            <wp:positionV relativeFrom="paragraph">
              <wp:posOffset>-321945</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3236595</wp:posOffset>
            </wp:positionH>
            <wp:positionV relativeFrom="paragraph">
              <wp:posOffset>-176530</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3236595</wp:posOffset>
            </wp:positionH>
            <wp:positionV relativeFrom="paragraph">
              <wp:posOffset>-159385</wp:posOffset>
            </wp:positionV>
            <wp:extent cx="6858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3236595</wp:posOffset>
            </wp:positionH>
            <wp:positionV relativeFrom="paragraph">
              <wp:posOffset>-321945</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-176530</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-159385</wp:posOffset>
            </wp:positionV>
            <wp:extent cx="6858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-321945</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-176530</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-159385</wp:posOffset>
            </wp:positionV>
            <wp:extent cx="6858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-321945</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-176530</wp:posOffset>
            </wp:positionV>
            <wp:extent cx="7683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-159385</wp:posOffset>
            </wp:positionV>
            <wp:extent cx="7683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-321945</wp:posOffset>
            </wp:positionV>
            <wp:extent cx="7683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-176530</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-159385</wp:posOffset>
            </wp:positionV>
            <wp:extent cx="6858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-321945</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-176530</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-159385</wp:posOffset>
            </wp:positionV>
            <wp:extent cx="6858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-321945</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59" w:lineRule="exact"/>
        <w:rPr>
          <w:sz w:val="20"/>
          <w:szCs w:val="20"/>
          <w:color w:val="auto"/>
        </w:rPr>
      </w:pPr>
    </w:p>
    <w:p>
      <w:pPr>
        <w:ind w:left="360" w:hanging="352"/>
        <w:spacing w:after="0"/>
        <w:tabs>
          <w:tab w:leader="none" w:pos="36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Revenues and operating income by reportable segment are as follows (in thousands):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4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2"/>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2025</w:t>
            </w:r>
          </w:p>
        </w:tc>
        <w:tc>
          <w:tcPr>
            <w:tcW w:w="7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r>
      <w:tr>
        <w:trPr>
          <w:trHeight w:val="142"/>
        </w:trPr>
        <w:tc>
          <w:tcPr>
            <w:tcW w:w="2040" w:type="dxa"/>
            <w:vAlign w:val="bottom"/>
          </w:tcPr>
          <w:p>
            <w:pPr>
              <w:spacing w:after="0"/>
              <w:rPr>
                <w:sz w:val="12"/>
                <w:szCs w:val="12"/>
                <w:color w:val="auto"/>
              </w:rPr>
            </w:pPr>
          </w:p>
        </w:tc>
        <w:tc>
          <w:tcPr>
            <w:tcW w:w="1140" w:type="dxa"/>
            <w:vAlign w:val="bottom"/>
            <w:gridSpan w:val="3"/>
          </w:tcPr>
          <w:p>
            <w:pPr>
              <w:ind w:left="220"/>
              <w:spacing w:after="0" w:line="142" w:lineRule="exact"/>
              <w:rPr>
                <w:sz w:val="20"/>
                <w:szCs w:val="20"/>
                <w:color w:val="auto"/>
              </w:rPr>
            </w:pPr>
            <w:r>
              <w:rPr>
                <w:rFonts w:ascii="Times New Roman" w:cs="Times New Roman" w:eastAsia="Times New Roman" w:hAnsi="Times New Roman"/>
                <w:sz w:val="14"/>
                <w:szCs w:val="14"/>
                <w:b w:val="1"/>
                <w:bCs w:val="1"/>
                <w:color w:val="auto"/>
              </w:rPr>
              <w:t>1st Qtr</w:t>
            </w:r>
          </w:p>
        </w:tc>
        <w:tc>
          <w:tcPr>
            <w:tcW w:w="740" w:type="dxa"/>
            <w:vAlign w:val="bottom"/>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2nd Qtr</w:t>
            </w:r>
          </w:p>
        </w:tc>
        <w:tc>
          <w:tcPr>
            <w:tcW w:w="120" w:type="dxa"/>
            <w:vAlign w:val="bottom"/>
          </w:tcPr>
          <w:p>
            <w:pPr>
              <w:spacing w:after="0"/>
              <w:rPr>
                <w:sz w:val="12"/>
                <w:szCs w:val="12"/>
                <w:color w:val="auto"/>
              </w:rPr>
            </w:pPr>
          </w:p>
        </w:tc>
        <w:tc>
          <w:tcPr>
            <w:tcW w:w="900" w:type="dxa"/>
            <w:vAlign w:val="bottom"/>
          </w:tcPr>
          <w:p>
            <w:pPr>
              <w:jc w:val="right"/>
              <w:ind w:right="134"/>
              <w:spacing w:after="0" w:line="142" w:lineRule="exact"/>
              <w:rPr>
                <w:sz w:val="20"/>
                <w:szCs w:val="20"/>
                <w:color w:val="auto"/>
              </w:rPr>
            </w:pPr>
            <w:r>
              <w:rPr>
                <w:rFonts w:ascii="Times New Roman" w:cs="Times New Roman" w:eastAsia="Times New Roman" w:hAnsi="Times New Roman"/>
                <w:sz w:val="14"/>
                <w:szCs w:val="14"/>
                <w:b w:val="1"/>
                <w:bCs w:val="1"/>
                <w:color w:val="auto"/>
              </w:rPr>
              <w:t>3rd Qtr</w:t>
            </w:r>
          </w:p>
        </w:tc>
        <w:tc>
          <w:tcPr>
            <w:tcW w:w="100" w:type="dxa"/>
            <w:vAlign w:val="bottom"/>
          </w:tcPr>
          <w:p>
            <w:pPr>
              <w:spacing w:after="0"/>
              <w:rPr>
                <w:sz w:val="12"/>
                <w:szCs w:val="12"/>
                <w:color w:val="auto"/>
              </w:rPr>
            </w:pPr>
          </w:p>
        </w:tc>
        <w:tc>
          <w:tcPr>
            <w:tcW w:w="900" w:type="dxa"/>
            <w:vAlign w:val="bottom"/>
          </w:tcPr>
          <w:p>
            <w:pPr>
              <w:jc w:val="right"/>
              <w:ind w:right="134"/>
              <w:spacing w:after="0" w:line="142" w:lineRule="exact"/>
              <w:rPr>
                <w:sz w:val="20"/>
                <w:szCs w:val="20"/>
                <w:color w:val="auto"/>
              </w:rPr>
            </w:pPr>
            <w:r>
              <w:rPr>
                <w:rFonts w:ascii="Times New Roman" w:cs="Times New Roman" w:eastAsia="Times New Roman" w:hAnsi="Times New Roman"/>
                <w:sz w:val="14"/>
                <w:szCs w:val="14"/>
                <w:b w:val="1"/>
                <w:bCs w:val="1"/>
                <w:color w:val="auto"/>
              </w:rPr>
              <w:t>4th Qtr</w:t>
            </w:r>
          </w:p>
        </w:tc>
        <w:tc>
          <w:tcPr>
            <w:tcW w:w="120" w:type="dxa"/>
            <w:vAlign w:val="bottom"/>
          </w:tcPr>
          <w:p>
            <w:pPr>
              <w:spacing w:after="0"/>
              <w:rPr>
                <w:sz w:val="12"/>
                <w:szCs w:val="12"/>
                <w:color w:val="auto"/>
              </w:rPr>
            </w:pPr>
          </w:p>
        </w:tc>
        <w:tc>
          <w:tcPr>
            <w:tcW w:w="1040" w:type="dxa"/>
            <w:vAlign w:val="bottom"/>
          </w:tcPr>
          <w:p>
            <w:pPr>
              <w:jc w:val="right"/>
              <w:ind w:right="154"/>
              <w:spacing w:after="0" w:line="142" w:lineRule="exact"/>
              <w:rPr>
                <w:sz w:val="20"/>
                <w:szCs w:val="20"/>
                <w:color w:val="auto"/>
              </w:rPr>
            </w:pPr>
            <w:r>
              <w:rPr>
                <w:rFonts w:ascii="Times New Roman" w:cs="Times New Roman" w:eastAsia="Times New Roman" w:hAnsi="Times New Roman"/>
                <w:sz w:val="14"/>
                <w:szCs w:val="14"/>
                <w:b w:val="1"/>
                <w:bCs w:val="1"/>
                <w:color w:val="auto"/>
              </w:rPr>
              <w:t>Full Year</w:t>
            </w:r>
          </w:p>
        </w:tc>
        <w:tc>
          <w:tcPr>
            <w:tcW w:w="120" w:type="dxa"/>
            <w:vAlign w:val="bottom"/>
          </w:tcPr>
          <w:p>
            <w:pPr>
              <w:spacing w:after="0"/>
              <w:rPr>
                <w:sz w:val="12"/>
                <w:szCs w:val="12"/>
                <w:color w:val="auto"/>
              </w:rPr>
            </w:pPr>
          </w:p>
        </w:tc>
        <w:tc>
          <w:tcPr>
            <w:tcW w:w="880" w:type="dxa"/>
            <w:vAlign w:val="bottom"/>
          </w:tcPr>
          <w:p>
            <w:pPr>
              <w:jc w:val="right"/>
              <w:ind w:right="134"/>
              <w:spacing w:after="0" w:line="142" w:lineRule="exact"/>
              <w:rPr>
                <w:sz w:val="20"/>
                <w:szCs w:val="20"/>
                <w:color w:val="auto"/>
              </w:rPr>
            </w:pPr>
            <w:r>
              <w:rPr>
                <w:rFonts w:ascii="Times New Roman" w:cs="Times New Roman" w:eastAsia="Times New Roman" w:hAnsi="Times New Roman"/>
                <w:sz w:val="14"/>
                <w:szCs w:val="14"/>
                <w:b w:val="1"/>
                <w:bCs w:val="1"/>
                <w:color w:val="auto"/>
              </w:rPr>
              <w:t>1st Qtr</w:t>
            </w:r>
          </w:p>
        </w:tc>
        <w:tc>
          <w:tcPr>
            <w:tcW w:w="120" w:type="dxa"/>
            <w:vAlign w:val="bottom"/>
          </w:tcPr>
          <w:p>
            <w:pPr>
              <w:spacing w:after="0"/>
              <w:rPr>
                <w:sz w:val="12"/>
                <w:szCs w:val="12"/>
                <w:color w:val="auto"/>
              </w:rPr>
            </w:pPr>
          </w:p>
        </w:tc>
        <w:tc>
          <w:tcPr>
            <w:tcW w:w="1220" w:type="dxa"/>
            <w:vAlign w:val="bottom"/>
            <w:gridSpan w:val="3"/>
          </w:tcPr>
          <w:p>
            <w:pPr>
              <w:jc w:val="right"/>
              <w:ind w:right="480"/>
              <w:spacing w:after="0" w:line="142" w:lineRule="exact"/>
              <w:rPr>
                <w:sz w:val="20"/>
                <w:szCs w:val="20"/>
                <w:color w:val="auto"/>
              </w:rPr>
            </w:pPr>
            <w:r>
              <w:rPr>
                <w:rFonts w:ascii="Times New Roman" w:cs="Times New Roman" w:eastAsia="Times New Roman" w:hAnsi="Times New Roman"/>
                <w:sz w:val="14"/>
                <w:szCs w:val="14"/>
                <w:b w:val="1"/>
                <w:bCs w:val="1"/>
                <w:color w:val="auto"/>
              </w:rPr>
              <w:t>2nd Qtr</w:t>
            </w:r>
          </w:p>
        </w:tc>
        <w:tc>
          <w:tcPr>
            <w:tcW w:w="780" w:type="dxa"/>
            <w:vAlign w:val="bottom"/>
          </w:tcPr>
          <w:p>
            <w:pPr>
              <w:jc w:val="right"/>
              <w:ind w:right="131"/>
              <w:spacing w:after="0" w:line="142" w:lineRule="exact"/>
              <w:rPr>
                <w:sz w:val="20"/>
                <w:szCs w:val="20"/>
                <w:color w:val="auto"/>
              </w:rPr>
            </w:pPr>
            <w:r>
              <w:rPr>
                <w:rFonts w:ascii="Times New Roman" w:cs="Times New Roman" w:eastAsia="Times New Roman" w:hAnsi="Times New Roman"/>
                <w:sz w:val="14"/>
                <w:szCs w:val="14"/>
                <w:b w:val="1"/>
                <w:bCs w:val="1"/>
                <w:color w:val="auto"/>
              </w:rPr>
              <w:t>3rd Qtr</w:t>
            </w:r>
          </w:p>
        </w:tc>
        <w:tc>
          <w:tcPr>
            <w:tcW w:w="100" w:type="dxa"/>
            <w:vAlign w:val="bottom"/>
          </w:tcPr>
          <w:p>
            <w:pPr>
              <w:spacing w:after="0"/>
              <w:rPr>
                <w:sz w:val="12"/>
                <w:szCs w:val="12"/>
                <w:color w:val="auto"/>
              </w:rPr>
            </w:pPr>
          </w:p>
        </w:tc>
        <w:tc>
          <w:tcPr>
            <w:tcW w:w="920" w:type="dxa"/>
            <w:vAlign w:val="bottom"/>
          </w:tcPr>
          <w:p>
            <w:pPr>
              <w:jc w:val="right"/>
              <w:ind w:right="234"/>
              <w:spacing w:after="0" w:line="142" w:lineRule="exact"/>
              <w:rPr>
                <w:sz w:val="20"/>
                <w:szCs w:val="20"/>
                <w:color w:val="auto"/>
              </w:rPr>
            </w:pPr>
            <w:r>
              <w:rPr>
                <w:rFonts w:ascii="Times New Roman" w:cs="Times New Roman" w:eastAsia="Times New Roman" w:hAnsi="Times New Roman"/>
                <w:sz w:val="14"/>
                <w:szCs w:val="14"/>
                <w:b w:val="1"/>
                <w:bCs w:val="1"/>
                <w:color w:val="auto"/>
              </w:rPr>
              <w:t>YTD</w:t>
            </w:r>
          </w:p>
        </w:tc>
      </w:tr>
      <w:tr>
        <w:trPr>
          <w:trHeight w:val="210"/>
        </w:trPr>
        <w:tc>
          <w:tcPr>
            <w:tcW w:w="20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880" w:type="dxa"/>
            <w:vAlign w:val="bottom"/>
            <w:tcBorders>
              <w:top w:val="single" w:sz="8" w:color="auto"/>
            </w:tcBorders>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40" w:type="dxa"/>
            <w:vAlign w:val="bottom"/>
            <w:tcBorders>
              <w:top w:val="single" w:sz="8" w:color="auto"/>
            </w:tcBorders>
            <w:shd w:val="clear" w:color="auto" w:fill="CCFFCC"/>
          </w:tcPr>
          <w:p>
            <w:pPr>
              <w:spacing w:after="0"/>
              <w:rPr>
                <w:sz w:val="18"/>
                <w:szCs w:val="18"/>
                <w:color w:val="auto"/>
              </w:rPr>
            </w:pPr>
          </w:p>
        </w:tc>
        <w:tc>
          <w:tcPr>
            <w:tcW w:w="740" w:type="dxa"/>
            <w:vAlign w:val="bottom"/>
            <w:tcBorders>
              <w:top w:val="single" w:sz="8" w:color="auto"/>
            </w:tcBorders>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90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900" w:type="dxa"/>
            <w:vAlign w:val="bottom"/>
            <w:tcBorders>
              <w:top w:val="single" w:sz="8" w:color="auto"/>
            </w:tcBorders>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40" w:type="dxa"/>
            <w:vAlign w:val="bottom"/>
            <w:tcBorders>
              <w:top w:val="single" w:sz="8" w:color="auto"/>
            </w:tcBorders>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880" w:type="dxa"/>
            <w:vAlign w:val="bottom"/>
            <w:tcBorders>
              <w:top w:val="single" w:sz="8" w:color="auto"/>
            </w:tcBorders>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0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0" w:type="dxa"/>
            <w:vAlign w:val="bottom"/>
            <w:tcBorders>
              <w:top w:val="single" w:sz="8" w:color="auto"/>
            </w:tcBorders>
            <w:shd w:val="clear" w:color="auto" w:fill="CCFFCC"/>
          </w:tcPr>
          <w:p>
            <w:pPr>
              <w:spacing w:after="0"/>
              <w:rPr>
                <w:sz w:val="18"/>
                <w:szCs w:val="18"/>
                <w:color w:val="auto"/>
              </w:rPr>
            </w:pPr>
          </w:p>
        </w:tc>
        <w:tc>
          <w:tcPr>
            <w:tcW w:w="78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920" w:type="dxa"/>
            <w:vAlign w:val="bottom"/>
            <w:tcBorders>
              <w:top w:val="single" w:sz="8" w:color="auto"/>
            </w:tcBorders>
            <w:shd w:val="clear" w:color="auto" w:fill="CCFFCC"/>
          </w:tcPr>
          <w:p>
            <w:pPr>
              <w:spacing w:after="0"/>
              <w:rPr>
                <w:sz w:val="18"/>
                <w:szCs w:val="18"/>
                <w:color w:val="auto"/>
              </w:rPr>
            </w:pPr>
          </w:p>
        </w:tc>
      </w:tr>
      <w:tr>
        <w:trPr>
          <w:trHeight w:val="216"/>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Americas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$196,312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$205,955</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$205,852</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$194,367</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$802,486</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$194,615</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$206,606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$206,659</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$607,880</w:t>
            </w:r>
          </w:p>
        </w:tc>
      </w:tr>
      <w:tr>
        <w:trPr>
          <w:trHeight w:val="216"/>
        </w:trPr>
        <w:tc>
          <w:tcPr>
            <w:tcW w:w="20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EMEA</w:t>
            </w:r>
          </w:p>
        </w:tc>
        <w:tc>
          <w:tcPr>
            <w:tcW w:w="8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46,620</w:t>
            </w:r>
          </w:p>
        </w:tc>
        <w:tc>
          <w:tcPr>
            <w:tcW w:w="1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7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46,918</w:t>
            </w:r>
          </w:p>
        </w:tc>
        <w:tc>
          <w:tcPr>
            <w:tcW w:w="102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48,082</w:t>
            </w:r>
          </w:p>
        </w:tc>
        <w:tc>
          <w:tcPr>
            <w:tcW w:w="10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48,903</w:t>
            </w:r>
          </w:p>
        </w:tc>
        <w:tc>
          <w:tcPr>
            <w:tcW w:w="116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190,523</w:t>
            </w:r>
          </w:p>
        </w:tc>
        <w:tc>
          <w:tcPr>
            <w:tcW w:w="10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55,542</w:t>
            </w:r>
          </w:p>
        </w:tc>
        <w:tc>
          <w:tcPr>
            <w:tcW w:w="112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52,301</w:t>
            </w: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7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53,975</w:t>
            </w:r>
          </w:p>
        </w:tc>
        <w:tc>
          <w:tcPr>
            <w:tcW w:w="102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161,818</w:t>
            </w:r>
          </w:p>
        </w:tc>
      </w:tr>
      <w:tr>
        <w:trPr>
          <w:trHeight w:val="216"/>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APAC</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11,620</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12,445</w:t>
            </w:r>
          </w:p>
        </w:tc>
        <w:tc>
          <w:tcPr>
            <w:tcW w:w="12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12,747</w:t>
            </w:r>
          </w:p>
        </w:tc>
        <w:tc>
          <w:tcPr>
            <w:tcW w:w="10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12,531</w:t>
            </w:r>
          </w:p>
        </w:tc>
        <w:tc>
          <w:tcPr>
            <w:tcW w:w="120" w:type="dxa"/>
            <w:vAlign w:val="bottom"/>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49,343</w:t>
            </w:r>
          </w:p>
        </w:tc>
        <w:tc>
          <w:tcPr>
            <w:tcW w:w="12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12,630</w:t>
            </w:r>
          </w:p>
        </w:tc>
        <w:tc>
          <w:tcPr>
            <w:tcW w:w="12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13,514</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15,161</w:t>
            </w:r>
          </w:p>
        </w:tc>
        <w:tc>
          <w:tcPr>
            <w:tcW w:w="10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41,305</w:t>
            </w:r>
          </w:p>
        </w:tc>
      </w:tr>
      <w:tr>
        <w:trPr>
          <w:trHeight w:val="249"/>
        </w:trPr>
        <w:tc>
          <w:tcPr>
            <w:tcW w:w="2040" w:type="dxa"/>
            <w:vAlign w:val="bottom"/>
            <w:shd w:val="clear" w:color="auto" w:fill="CCFFCC"/>
          </w:tcPr>
          <w:p>
            <w:pPr>
              <w:spacing w:after="0"/>
              <w:rPr>
                <w:sz w:val="21"/>
                <w:szCs w:val="21"/>
                <w:color w:val="auto"/>
              </w:rPr>
            </w:pPr>
          </w:p>
        </w:tc>
        <w:tc>
          <w:tcPr>
            <w:tcW w:w="8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$254,552</w:t>
            </w:r>
          </w:p>
        </w:tc>
        <w:tc>
          <w:tcPr>
            <w:tcW w:w="120" w:type="dxa"/>
            <w:vAlign w:val="bottom"/>
            <w:shd w:val="clear" w:color="auto" w:fill="CCFFCC"/>
          </w:tcPr>
          <w:p>
            <w:pPr>
              <w:spacing w:after="0"/>
              <w:rPr>
                <w:sz w:val="21"/>
                <w:szCs w:val="21"/>
                <w:color w:val="auto"/>
              </w:rPr>
            </w:pPr>
          </w:p>
        </w:tc>
        <w:tc>
          <w:tcPr>
            <w:tcW w:w="140" w:type="dxa"/>
            <w:vAlign w:val="bottom"/>
            <w:shd w:val="clear" w:color="auto" w:fill="CCFFCC"/>
          </w:tcPr>
          <w:p>
            <w:pPr>
              <w:spacing w:after="0"/>
              <w:rPr>
                <w:sz w:val="21"/>
                <w:szCs w:val="21"/>
                <w:color w:val="auto"/>
              </w:rPr>
            </w:pPr>
          </w:p>
        </w:tc>
        <w:tc>
          <w:tcPr>
            <w:tcW w:w="7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$265,318</w:t>
            </w:r>
          </w:p>
        </w:tc>
        <w:tc>
          <w:tcPr>
            <w:tcW w:w="102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$266,681</w:t>
            </w:r>
          </w:p>
        </w:tc>
        <w:tc>
          <w:tcPr>
            <w:tcW w:w="10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$255,801</w:t>
            </w:r>
          </w:p>
        </w:tc>
        <w:tc>
          <w:tcPr>
            <w:tcW w:w="116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$1,042,352</w:t>
            </w:r>
          </w:p>
        </w:tc>
        <w:tc>
          <w:tcPr>
            <w:tcW w:w="10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$262,787</w:t>
            </w:r>
          </w:p>
        </w:tc>
        <w:tc>
          <w:tcPr>
            <w:tcW w:w="112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$272,421</w:t>
            </w:r>
          </w:p>
        </w:tc>
        <w:tc>
          <w:tcPr>
            <w:tcW w:w="10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7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$275,795</w:t>
            </w:r>
          </w:p>
        </w:tc>
        <w:tc>
          <w:tcPr>
            <w:tcW w:w="102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$811,003</w:t>
            </w:r>
          </w:p>
        </w:tc>
      </w:tr>
      <w:tr>
        <w:trPr>
          <w:trHeight w:val="197"/>
        </w:trPr>
        <w:tc>
          <w:tcPr>
            <w:tcW w:w="2040" w:type="dxa"/>
            <w:vAlign w:val="bottom"/>
            <w:tcBorders>
              <w:top w:val="single" w:sz="8" w:color="CCFFCC"/>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20" w:type="dxa"/>
            <w:vAlign w:val="bottom"/>
            <w:tcBorders>
              <w:top w:val="single" w:sz="8" w:color="CCFFCC"/>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20" w:type="dxa"/>
            <w:vAlign w:val="bottom"/>
            <w:tcBorders>
              <w:top w:val="single" w:sz="8" w:color="CCFFCC"/>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Borders>
              <w:top w:val="single" w:sz="8" w:color="CCFFCC"/>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Borders>
              <w:top w:val="single" w:sz="8" w:color="CCFFCC"/>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20" w:type="dxa"/>
            <w:vAlign w:val="bottom"/>
            <w:tcBorders>
              <w:top w:val="single" w:sz="8" w:color="CCFFCC"/>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20" w:type="dxa"/>
            <w:vAlign w:val="bottom"/>
            <w:tcBorders>
              <w:top w:val="single" w:sz="8" w:color="CCFFCC"/>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Borders>
              <w:top w:val="single" w:sz="8" w:color="CCFFC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Borders>
              <w:top w:val="single" w:sz="8" w:color="CCFFCC"/>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r>
      <w:tr>
        <w:trPr>
          <w:trHeight w:val="216"/>
        </w:trPr>
        <w:tc>
          <w:tcPr>
            <w:tcW w:w="20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b w:val="1"/>
                <w:bCs w:val="1"/>
                <w:color w:val="auto"/>
                <w:w w:val="99"/>
              </w:rPr>
              <w:t>GAAP Operating Income:</w:t>
            </w:r>
          </w:p>
        </w:tc>
        <w:tc>
          <w:tcPr>
            <w:tcW w:w="8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7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7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r>
      <w:tr>
        <w:trPr>
          <w:trHeight w:val="216"/>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Americas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$36,687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$45,300</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$49,033</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$36,323</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$167,343</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$33,862</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$48,051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$45,783</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$127,696</w:t>
            </w:r>
          </w:p>
        </w:tc>
      </w:tr>
      <w:tr>
        <w:trPr>
          <w:trHeight w:val="216"/>
        </w:trPr>
        <w:tc>
          <w:tcPr>
            <w:tcW w:w="20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EMEA</w:t>
            </w:r>
          </w:p>
        </w:tc>
        <w:tc>
          <w:tcPr>
            <w:tcW w:w="8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15,884</w:t>
            </w:r>
          </w:p>
        </w:tc>
        <w:tc>
          <w:tcPr>
            <w:tcW w:w="1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7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17,195</w:t>
            </w:r>
          </w:p>
        </w:tc>
        <w:tc>
          <w:tcPr>
            <w:tcW w:w="102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20,521</w:t>
            </w:r>
          </w:p>
        </w:tc>
        <w:tc>
          <w:tcPr>
            <w:tcW w:w="10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18,896</w:t>
            </w:r>
          </w:p>
        </w:tc>
        <w:tc>
          <w:tcPr>
            <w:tcW w:w="116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72,496</w:t>
            </w:r>
          </w:p>
        </w:tc>
        <w:tc>
          <w:tcPr>
            <w:tcW w:w="10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23,703</w:t>
            </w:r>
          </w:p>
        </w:tc>
        <w:tc>
          <w:tcPr>
            <w:tcW w:w="112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19,807</w:t>
            </w: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7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22,877</w:t>
            </w:r>
          </w:p>
        </w:tc>
        <w:tc>
          <w:tcPr>
            <w:tcW w:w="102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66,387</w:t>
            </w:r>
          </w:p>
        </w:tc>
      </w:tr>
      <w:tr>
        <w:trPr>
          <w:trHeight w:val="216"/>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APAC</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5,059</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5,693</w:t>
            </w:r>
          </w:p>
        </w:tc>
        <w:tc>
          <w:tcPr>
            <w:tcW w:w="12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5,536</w:t>
            </w:r>
          </w:p>
        </w:tc>
        <w:tc>
          <w:tcPr>
            <w:tcW w:w="10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5,469</w:t>
            </w:r>
          </w:p>
        </w:tc>
        <w:tc>
          <w:tcPr>
            <w:tcW w:w="120" w:type="dxa"/>
            <w:vAlign w:val="bottom"/>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21,757</w:t>
            </w:r>
          </w:p>
        </w:tc>
        <w:tc>
          <w:tcPr>
            <w:tcW w:w="12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5,607</w:t>
            </w:r>
          </w:p>
        </w:tc>
        <w:tc>
          <w:tcPr>
            <w:tcW w:w="12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5,930</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7,168</w:t>
            </w:r>
          </w:p>
        </w:tc>
        <w:tc>
          <w:tcPr>
            <w:tcW w:w="10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18,705</w:t>
            </w:r>
          </w:p>
        </w:tc>
      </w:tr>
      <w:tr>
        <w:trPr>
          <w:trHeight w:val="250"/>
        </w:trPr>
        <w:tc>
          <w:tcPr>
            <w:tcW w:w="2040" w:type="dxa"/>
            <w:vAlign w:val="bottom"/>
            <w:shd w:val="clear" w:color="auto" w:fill="CCFFCC"/>
          </w:tcPr>
          <w:p>
            <w:pPr>
              <w:spacing w:after="0"/>
              <w:rPr>
                <w:sz w:val="21"/>
                <w:szCs w:val="21"/>
                <w:color w:val="auto"/>
              </w:rPr>
            </w:pPr>
          </w:p>
        </w:tc>
        <w:tc>
          <w:tcPr>
            <w:tcW w:w="8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$57,630</w:t>
            </w:r>
          </w:p>
        </w:tc>
        <w:tc>
          <w:tcPr>
            <w:tcW w:w="120" w:type="dxa"/>
            <w:vAlign w:val="bottom"/>
            <w:shd w:val="clear" w:color="auto" w:fill="CCFFCC"/>
          </w:tcPr>
          <w:p>
            <w:pPr>
              <w:spacing w:after="0"/>
              <w:rPr>
                <w:sz w:val="21"/>
                <w:szCs w:val="21"/>
                <w:color w:val="auto"/>
              </w:rPr>
            </w:pPr>
          </w:p>
        </w:tc>
        <w:tc>
          <w:tcPr>
            <w:tcW w:w="140" w:type="dxa"/>
            <w:vAlign w:val="bottom"/>
            <w:shd w:val="clear" w:color="auto" w:fill="CCFFCC"/>
          </w:tcPr>
          <w:p>
            <w:pPr>
              <w:spacing w:after="0"/>
              <w:rPr>
                <w:sz w:val="21"/>
                <w:szCs w:val="21"/>
                <w:color w:val="auto"/>
              </w:rPr>
            </w:pPr>
          </w:p>
        </w:tc>
        <w:tc>
          <w:tcPr>
            <w:tcW w:w="7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$68,188</w:t>
            </w:r>
          </w:p>
        </w:tc>
        <w:tc>
          <w:tcPr>
            <w:tcW w:w="102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$75,090</w:t>
            </w:r>
          </w:p>
        </w:tc>
        <w:tc>
          <w:tcPr>
            <w:tcW w:w="10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$60,688</w:t>
            </w:r>
          </w:p>
        </w:tc>
        <w:tc>
          <w:tcPr>
            <w:tcW w:w="116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$261,596</w:t>
            </w:r>
          </w:p>
        </w:tc>
        <w:tc>
          <w:tcPr>
            <w:tcW w:w="10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$63,172</w:t>
            </w:r>
          </w:p>
        </w:tc>
        <w:tc>
          <w:tcPr>
            <w:tcW w:w="112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$73,788</w:t>
            </w:r>
          </w:p>
        </w:tc>
        <w:tc>
          <w:tcPr>
            <w:tcW w:w="10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7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$75,828</w:t>
            </w:r>
          </w:p>
        </w:tc>
        <w:tc>
          <w:tcPr>
            <w:tcW w:w="102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$212,788</w:t>
            </w:r>
          </w:p>
        </w:tc>
      </w:tr>
      <w:tr>
        <w:trPr>
          <w:trHeight w:val="197"/>
        </w:trPr>
        <w:tc>
          <w:tcPr>
            <w:tcW w:w="2040" w:type="dxa"/>
            <w:vAlign w:val="bottom"/>
            <w:tcBorders>
              <w:top w:val="single" w:sz="8" w:color="CCFFCC"/>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20" w:type="dxa"/>
            <w:vAlign w:val="bottom"/>
            <w:tcBorders>
              <w:top w:val="single" w:sz="8" w:color="CCFFCC"/>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20" w:type="dxa"/>
            <w:vAlign w:val="bottom"/>
            <w:tcBorders>
              <w:top w:val="single" w:sz="8" w:color="CCFFCC"/>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Borders>
              <w:top w:val="single" w:sz="8" w:color="CCFFCC"/>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Borders>
              <w:top w:val="single" w:sz="8" w:color="CCFFCC"/>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20" w:type="dxa"/>
            <w:vAlign w:val="bottom"/>
            <w:tcBorders>
              <w:top w:val="single" w:sz="8" w:color="CCFFCC"/>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20" w:type="dxa"/>
            <w:vAlign w:val="bottom"/>
            <w:tcBorders>
              <w:top w:val="single" w:sz="8" w:color="CCFFCC"/>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Borders>
              <w:top w:val="single" w:sz="8" w:color="CCFFC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Borders>
              <w:top w:val="single" w:sz="8" w:color="CCFFCC"/>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r>
      <w:tr>
        <w:trPr>
          <w:trHeight w:val="216"/>
        </w:trPr>
        <w:tc>
          <w:tcPr>
            <w:tcW w:w="20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b w:val="1"/>
                <w:bCs w:val="1"/>
                <w:color w:val="auto"/>
              </w:rPr>
              <w:t>Adjustments (pre-tax):</w:t>
            </w:r>
          </w:p>
        </w:tc>
        <w:tc>
          <w:tcPr>
            <w:tcW w:w="8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7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7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r>
      <w:tr>
        <w:trPr>
          <w:trHeight w:val="216"/>
        </w:trPr>
        <w:tc>
          <w:tcPr>
            <w:tcW w:w="2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Americas:</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198"/>
        </w:trPr>
        <w:tc>
          <w:tcPr>
            <w:tcW w:w="2040" w:type="dxa"/>
            <w:vAlign w:val="bottom"/>
            <w:shd w:val="clear" w:color="auto" w:fill="CCFFCC"/>
          </w:tcPr>
          <w:p>
            <w:pPr>
              <w:ind w:left="40"/>
              <w:spacing w:after="0" w:line="198" w:lineRule="exact"/>
              <w:rPr>
                <w:sz w:val="20"/>
                <w:szCs w:val="20"/>
                <w:color w:val="auto"/>
              </w:rPr>
            </w:pPr>
            <w:r>
              <w:rPr>
                <w:rFonts w:ascii="Times New Roman" w:cs="Times New Roman" w:eastAsia="Times New Roman" w:hAnsi="Times New Roman"/>
                <w:sz w:val="18"/>
                <w:szCs w:val="18"/>
                <w:color w:val="auto"/>
              </w:rPr>
              <w:t>Equity-based</w:t>
            </w:r>
          </w:p>
        </w:tc>
        <w:tc>
          <w:tcPr>
            <w:tcW w:w="88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74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9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90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04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88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0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7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920" w:type="dxa"/>
            <w:vAlign w:val="bottom"/>
            <w:shd w:val="clear" w:color="auto" w:fill="CCFFCC"/>
          </w:tcPr>
          <w:p>
            <w:pPr>
              <w:spacing w:after="0"/>
              <w:rPr>
                <w:sz w:val="17"/>
                <w:szCs w:val="17"/>
                <w:color w:val="auto"/>
              </w:rPr>
            </w:pPr>
          </w:p>
        </w:tc>
      </w:tr>
      <w:tr>
        <w:trPr>
          <w:trHeight w:val="234"/>
        </w:trPr>
        <w:tc>
          <w:tcPr>
            <w:tcW w:w="2040" w:type="dxa"/>
            <w:vAlign w:val="bottom"/>
            <w:shd w:val="clear" w:color="auto" w:fill="CCFFCC"/>
          </w:tcPr>
          <w:p>
            <w:pPr>
              <w:ind w:left="40"/>
              <w:spacing w:after="0"/>
              <w:rPr>
                <w:sz w:val="20"/>
                <w:szCs w:val="20"/>
                <w:color w:val="auto"/>
              </w:rPr>
            </w:pPr>
            <w:r>
              <w:rPr>
                <w:rFonts w:ascii="Times New Roman" w:cs="Times New Roman" w:eastAsia="Times New Roman" w:hAnsi="Times New Roman"/>
                <w:sz w:val="18"/>
                <w:szCs w:val="18"/>
                <w:color w:val="auto"/>
              </w:rPr>
              <w:t>compensation</w:t>
            </w:r>
          </w:p>
        </w:tc>
        <w:tc>
          <w:tcPr>
            <w:tcW w:w="8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$22,095</w:t>
            </w:r>
          </w:p>
        </w:tc>
        <w:tc>
          <w:tcPr>
            <w:tcW w:w="12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7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$24,666</w:t>
            </w:r>
          </w:p>
        </w:tc>
        <w:tc>
          <w:tcPr>
            <w:tcW w:w="102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$23,853</w:t>
            </w:r>
          </w:p>
        </w:tc>
        <w:tc>
          <w:tcPr>
            <w:tcW w:w="10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$22,592</w:t>
            </w:r>
          </w:p>
        </w:tc>
        <w:tc>
          <w:tcPr>
            <w:tcW w:w="116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$93,206</w:t>
            </w:r>
          </w:p>
        </w:tc>
        <w:tc>
          <w:tcPr>
            <w:tcW w:w="10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$28,826</w:t>
            </w:r>
          </w:p>
        </w:tc>
        <w:tc>
          <w:tcPr>
            <w:tcW w:w="112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$24,275</w:t>
            </w:r>
          </w:p>
        </w:tc>
        <w:tc>
          <w:tcPr>
            <w:tcW w:w="10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7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$27,577</w:t>
            </w:r>
          </w:p>
        </w:tc>
        <w:tc>
          <w:tcPr>
            <w:tcW w:w="102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$80,678</w:t>
            </w:r>
          </w:p>
        </w:tc>
      </w:tr>
      <w:tr>
        <w:trPr>
          <w:trHeight w:val="198"/>
        </w:trPr>
        <w:tc>
          <w:tcPr>
            <w:tcW w:w="2040" w:type="dxa"/>
            <w:vAlign w:val="bottom"/>
          </w:tcPr>
          <w:p>
            <w:pPr>
              <w:ind w:left="40"/>
              <w:spacing w:after="0" w:line="198" w:lineRule="exact"/>
              <w:rPr>
                <w:sz w:val="20"/>
                <w:szCs w:val="20"/>
                <w:color w:val="auto"/>
              </w:rPr>
            </w:pPr>
            <w:r>
              <w:rPr>
                <w:rFonts w:ascii="Times New Roman" w:cs="Times New Roman" w:eastAsia="Times New Roman" w:hAnsi="Times New Roman"/>
                <w:sz w:val="18"/>
                <w:szCs w:val="18"/>
                <w:color w:val="auto"/>
              </w:rPr>
              <w:t>Unusual health insurance</w:t>
            </w: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34"/>
        </w:trPr>
        <w:tc>
          <w:tcPr>
            <w:tcW w:w="2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claim</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7,002</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7,002</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(3,658)</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(658)</w:t>
            </w:r>
          </w:p>
        </w:tc>
      </w:tr>
      <w:tr>
        <w:trPr>
          <w:trHeight w:val="216"/>
        </w:trPr>
        <w:tc>
          <w:tcPr>
            <w:tcW w:w="2040" w:type="dxa"/>
            <w:vAlign w:val="bottom"/>
            <w:tcBorders>
              <w:bottom w:val="single" w:sz="8" w:color="CCFFCC"/>
            </w:tcBorders>
            <w:shd w:val="clear" w:color="auto" w:fill="CCFFCC"/>
          </w:tcPr>
          <w:p>
            <w:pPr>
              <w:ind w:left="40"/>
              <w:spacing w:after="0"/>
              <w:rPr>
                <w:sz w:val="20"/>
                <w:szCs w:val="20"/>
                <w:color w:val="auto"/>
              </w:rPr>
            </w:pPr>
            <w:r>
              <w:rPr>
                <w:rFonts w:ascii="Times New Roman" w:cs="Times New Roman" w:eastAsia="Times New Roman" w:hAnsi="Times New Roman"/>
                <w:sz w:val="18"/>
                <w:szCs w:val="18"/>
                <w:color w:val="auto"/>
              </w:rPr>
              <w:t>Restructuring expense</w:t>
            </w:r>
          </w:p>
        </w:tc>
        <w:tc>
          <w:tcPr>
            <w:tcW w:w="88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FFCC"/>
            </w:tcBorders>
            <w:shd w:val="clear" w:color="auto" w:fill="CCFFCC"/>
          </w:tcPr>
          <w:p>
            <w:pPr>
              <w:spacing w:after="0"/>
              <w:rPr>
                <w:sz w:val="18"/>
                <w:szCs w:val="18"/>
                <w:color w:val="auto"/>
              </w:rPr>
            </w:pPr>
          </w:p>
        </w:tc>
        <w:tc>
          <w:tcPr>
            <w:tcW w:w="140" w:type="dxa"/>
            <w:vAlign w:val="bottom"/>
            <w:tcBorders>
              <w:bottom w:val="single" w:sz="8" w:color="auto"/>
            </w:tcBorders>
            <w:shd w:val="clear" w:color="auto" w:fill="CCFFCC"/>
          </w:tcPr>
          <w:p>
            <w:pPr>
              <w:spacing w:after="0"/>
              <w:rPr>
                <w:sz w:val="18"/>
                <w:szCs w:val="18"/>
                <w:color w:val="auto"/>
              </w:rPr>
            </w:pPr>
          </w:p>
        </w:tc>
        <w:tc>
          <w:tcPr>
            <w:tcW w:w="74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FFCC"/>
            </w:tcBorders>
            <w:shd w:val="clear" w:color="auto" w:fill="CCFFCC"/>
          </w:tcPr>
          <w:p>
            <w:pPr>
              <w:spacing w:after="0"/>
              <w:rPr>
                <w:sz w:val="18"/>
                <w:szCs w:val="18"/>
                <w:color w:val="auto"/>
              </w:rPr>
            </w:pPr>
          </w:p>
        </w:tc>
        <w:tc>
          <w:tcPr>
            <w:tcW w:w="90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FFCC"/>
            </w:tcBorders>
            <w:shd w:val="clear" w:color="auto" w:fill="CCFFCC"/>
          </w:tcPr>
          <w:p>
            <w:pPr>
              <w:spacing w:after="0"/>
              <w:rPr>
                <w:sz w:val="18"/>
                <w:szCs w:val="18"/>
                <w:color w:val="auto"/>
              </w:rPr>
            </w:pPr>
          </w:p>
        </w:tc>
        <w:tc>
          <w:tcPr>
            <w:tcW w:w="90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FFCC"/>
            </w:tcBorders>
            <w:shd w:val="clear" w:color="auto" w:fill="CCFFCC"/>
          </w:tcPr>
          <w:p>
            <w:pPr>
              <w:spacing w:after="0"/>
              <w:rPr>
                <w:sz w:val="18"/>
                <w:szCs w:val="18"/>
                <w:color w:val="auto"/>
              </w:rPr>
            </w:pPr>
          </w:p>
        </w:tc>
        <w:tc>
          <w:tcPr>
            <w:tcW w:w="104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FFCC"/>
            </w:tcBorders>
            <w:shd w:val="clear" w:color="auto" w:fill="CCFFCC"/>
          </w:tcPr>
          <w:p>
            <w:pPr>
              <w:spacing w:after="0"/>
              <w:rPr>
                <w:sz w:val="18"/>
                <w:szCs w:val="18"/>
                <w:color w:val="auto"/>
              </w:rPr>
            </w:pPr>
          </w:p>
        </w:tc>
        <w:tc>
          <w:tcPr>
            <w:tcW w:w="88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2,929</w:t>
            </w:r>
          </w:p>
        </w:tc>
        <w:tc>
          <w:tcPr>
            <w:tcW w:w="120" w:type="dxa"/>
            <w:vAlign w:val="bottom"/>
            <w:tcBorders>
              <w:bottom w:val="single" w:sz="8" w:color="CCFFCC"/>
            </w:tcBorders>
            <w:shd w:val="clear" w:color="auto" w:fill="CCFFCC"/>
          </w:tcPr>
          <w:p>
            <w:pPr>
              <w:spacing w:after="0"/>
              <w:rPr>
                <w:sz w:val="18"/>
                <w:szCs w:val="18"/>
                <w:color w:val="auto"/>
              </w:rPr>
            </w:pPr>
          </w:p>
        </w:tc>
        <w:tc>
          <w:tcPr>
            <w:tcW w:w="100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FFCC"/>
            </w:tcBorders>
            <w:shd w:val="clear" w:color="auto" w:fill="CCFFCC"/>
          </w:tcPr>
          <w:p>
            <w:pPr>
              <w:spacing w:after="0"/>
              <w:rPr>
                <w:sz w:val="18"/>
                <w:szCs w:val="18"/>
                <w:color w:val="auto"/>
              </w:rPr>
            </w:pPr>
          </w:p>
        </w:tc>
        <w:tc>
          <w:tcPr>
            <w:tcW w:w="120" w:type="dxa"/>
            <w:vAlign w:val="bottom"/>
            <w:tcBorders>
              <w:bottom w:val="single" w:sz="8" w:color="auto"/>
            </w:tcBorders>
            <w:shd w:val="clear" w:color="auto" w:fill="CCFFCC"/>
          </w:tcPr>
          <w:p>
            <w:pPr>
              <w:spacing w:after="0"/>
              <w:rPr>
                <w:sz w:val="18"/>
                <w:szCs w:val="18"/>
                <w:color w:val="auto"/>
              </w:rPr>
            </w:pPr>
          </w:p>
        </w:tc>
        <w:tc>
          <w:tcPr>
            <w:tcW w:w="78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FFCC"/>
            </w:tcBorders>
            <w:shd w:val="clear" w:color="auto" w:fill="CCFFCC"/>
          </w:tcPr>
          <w:p>
            <w:pPr>
              <w:spacing w:after="0"/>
              <w:rPr>
                <w:sz w:val="18"/>
                <w:szCs w:val="18"/>
                <w:color w:val="auto"/>
              </w:rPr>
            </w:pPr>
          </w:p>
        </w:tc>
        <w:tc>
          <w:tcPr>
            <w:tcW w:w="92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2,937</w:t>
            </w:r>
          </w:p>
        </w:tc>
      </w:tr>
      <w:tr>
        <w:trPr>
          <w:trHeight w:val="210"/>
        </w:trPr>
        <w:tc>
          <w:tcPr>
            <w:tcW w:w="20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$22,095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$24,666</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$23,853</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$29,594</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$100,208</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$28,097</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$27,283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$27,577</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$82,957</w:t>
            </w:r>
          </w:p>
        </w:tc>
      </w:tr>
      <w:tr>
        <w:trPr>
          <w:trHeight w:val="20"/>
        </w:trPr>
        <w:tc>
          <w:tcPr>
            <w:tcW w:w="20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20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16"/>
        </w:trPr>
        <w:tc>
          <w:tcPr>
            <w:tcW w:w="3180" w:type="dxa"/>
            <w:vAlign w:val="bottom"/>
            <w:gridSpan w:val="4"/>
            <w:shd w:val="clear" w:color="auto" w:fill="CCFFCC"/>
          </w:tcPr>
          <w:p>
            <w:pPr>
              <w:spacing w:after="0"/>
              <w:rPr>
                <w:sz w:val="20"/>
                <w:szCs w:val="20"/>
                <w:color w:val="auto"/>
              </w:rPr>
            </w:pPr>
            <w:r>
              <w:rPr>
                <w:rFonts w:ascii="Times New Roman" w:cs="Times New Roman" w:eastAsia="Times New Roman" w:hAnsi="Times New Roman"/>
                <w:sz w:val="18"/>
                <w:szCs w:val="18"/>
                <w:b w:val="1"/>
                <w:bCs w:val="1"/>
                <w:color w:val="auto"/>
              </w:rPr>
              <w:t>Adjusted non-GAAP Operating Income:</w:t>
            </w:r>
          </w:p>
        </w:tc>
        <w:tc>
          <w:tcPr>
            <w:tcW w:w="7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7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r>
      <w:tr>
        <w:trPr>
          <w:trHeight w:val="216"/>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Americas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$58,782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$69,966</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$72,886</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$65,917</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$267,551</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$61,959</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$75,334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$73,360</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$210,653</w:t>
            </w:r>
          </w:p>
        </w:tc>
      </w:tr>
      <w:tr>
        <w:trPr>
          <w:trHeight w:val="216"/>
        </w:trPr>
        <w:tc>
          <w:tcPr>
            <w:tcW w:w="20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EMEA</w:t>
            </w:r>
          </w:p>
        </w:tc>
        <w:tc>
          <w:tcPr>
            <w:tcW w:w="8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15,884</w:t>
            </w:r>
          </w:p>
        </w:tc>
        <w:tc>
          <w:tcPr>
            <w:tcW w:w="1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7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17,195</w:t>
            </w:r>
          </w:p>
        </w:tc>
        <w:tc>
          <w:tcPr>
            <w:tcW w:w="102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20,521</w:t>
            </w:r>
          </w:p>
        </w:tc>
        <w:tc>
          <w:tcPr>
            <w:tcW w:w="10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18,896</w:t>
            </w:r>
          </w:p>
        </w:tc>
        <w:tc>
          <w:tcPr>
            <w:tcW w:w="116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72,496</w:t>
            </w:r>
          </w:p>
        </w:tc>
        <w:tc>
          <w:tcPr>
            <w:tcW w:w="10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23,703</w:t>
            </w:r>
          </w:p>
        </w:tc>
        <w:tc>
          <w:tcPr>
            <w:tcW w:w="112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19,807</w:t>
            </w: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7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22,877</w:t>
            </w:r>
          </w:p>
        </w:tc>
        <w:tc>
          <w:tcPr>
            <w:tcW w:w="102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66,387</w:t>
            </w:r>
          </w:p>
        </w:tc>
      </w:tr>
      <w:tr>
        <w:trPr>
          <w:trHeight w:val="216"/>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APAC</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5,059</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5,693</w:t>
            </w:r>
          </w:p>
        </w:tc>
        <w:tc>
          <w:tcPr>
            <w:tcW w:w="12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5,536</w:t>
            </w:r>
          </w:p>
        </w:tc>
        <w:tc>
          <w:tcPr>
            <w:tcW w:w="10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5,469</w:t>
            </w:r>
          </w:p>
        </w:tc>
        <w:tc>
          <w:tcPr>
            <w:tcW w:w="120" w:type="dxa"/>
            <w:vAlign w:val="bottom"/>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21,757</w:t>
            </w:r>
          </w:p>
        </w:tc>
        <w:tc>
          <w:tcPr>
            <w:tcW w:w="12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5,607</w:t>
            </w:r>
          </w:p>
        </w:tc>
        <w:tc>
          <w:tcPr>
            <w:tcW w:w="12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5,930</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7,168</w:t>
            </w:r>
          </w:p>
        </w:tc>
        <w:tc>
          <w:tcPr>
            <w:tcW w:w="10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18,705</w:t>
            </w:r>
          </w:p>
        </w:tc>
      </w:tr>
      <w:tr>
        <w:trPr>
          <w:trHeight w:val="250"/>
        </w:trPr>
        <w:tc>
          <w:tcPr>
            <w:tcW w:w="2040" w:type="dxa"/>
            <w:vAlign w:val="bottom"/>
            <w:shd w:val="clear" w:color="auto" w:fill="CCFFCC"/>
          </w:tcPr>
          <w:p>
            <w:pPr>
              <w:spacing w:after="0"/>
              <w:rPr>
                <w:sz w:val="21"/>
                <w:szCs w:val="21"/>
                <w:color w:val="auto"/>
              </w:rPr>
            </w:pPr>
          </w:p>
        </w:tc>
        <w:tc>
          <w:tcPr>
            <w:tcW w:w="8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$79,725</w:t>
            </w:r>
          </w:p>
        </w:tc>
        <w:tc>
          <w:tcPr>
            <w:tcW w:w="120" w:type="dxa"/>
            <w:vAlign w:val="bottom"/>
            <w:shd w:val="clear" w:color="auto" w:fill="CCFFCC"/>
          </w:tcPr>
          <w:p>
            <w:pPr>
              <w:spacing w:after="0"/>
              <w:rPr>
                <w:sz w:val="21"/>
                <w:szCs w:val="21"/>
                <w:color w:val="auto"/>
              </w:rPr>
            </w:pPr>
          </w:p>
        </w:tc>
        <w:tc>
          <w:tcPr>
            <w:tcW w:w="140" w:type="dxa"/>
            <w:vAlign w:val="bottom"/>
            <w:shd w:val="clear" w:color="auto" w:fill="CCFFCC"/>
          </w:tcPr>
          <w:p>
            <w:pPr>
              <w:spacing w:after="0"/>
              <w:rPr>
                <w:sz w:val="21"/>
                <w:szCs w:val="21"/>
                <w:color w:val="auto"/>
              </w:rPr>
            </w:pPr>
          </w:p>
        </w:tc>
        <w:tc>
          <w:tcPr>
            <w:tcW w:w="7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$92,854</w:t>
            </w:r>
          </w:p>
        </w:tc>
        <w:tc>
          <w:tcPr>
            <w:tcW w:w="102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$98,943</w:t>
            </w:r>
          </w:p>
        </w:tc>
        <w:tc>
          <w:tcPr>
            <w:tcW w:w="10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$90,282</w:t>
            </w:r>
          </w:p>
        </w:tc>
        <w:tc>
          <w:tcPr>
            <w:tcW w:w="116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$361,804</w:t>
            </w:r>
          </w:p>
        </w:tc>
        <w:tc>
          <w:tcPr>
            <w:tcW w:w="10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$91,269</w:t>
            </w:r>
          </w:p>
        </w:tc>
        <w:tc>
          <w:tcPr>
            <w:tcW w:w="112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$101,071</w:t>
            </w:r>
          </w:p>
        </w:tc>
        <w:tc>
          <w:tcPr>
            <w:tcW w:w="10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7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$103,405</w:t>
            </w:r>
          </w:p>
        </w:tc>
        <w:tc>
          <w:tcPr>
            <w:tcW w:w="102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$295,745</w:t>
            </w:r>
          </w:p>
        </w:tc>
      </w:tr>
      <w:tr>
        <w:trPr>
          <w:trHeight w:val="1769"/>
        </w:trPr>
        <w:tc>
          <w:tcPr>
            <w:tcW w:w="2040" w:type="dxa"/>
            <w:vAlign w:val="bottom"/>
            <w:tcBorders>
              <w:top w:val="single" w:sz="8" w:color="CCFFCC"/>
              <w:bottom w:val="single" w:sz="8" w:color="9A9A9A"/>
            </w:tcBorders>
          </w:tcPr>
          <w:p>
            <w:pPr>
              <w:spacing w:after="0"/>
              <w:rPr>
                <w:sz w:val="24"/>
                <w:szCs w:val="24"/>
                <w:color w:val="auto"/>
              </w:rPr>
            </w:pPr>
          </w:p>
        </w:tc>
        <w:tc>
          <w:tcPr>
            <w:tcW w:w="880" w:type="dxa"/>
            <w:vAlign w:val="bottom"/>
            <w:tcBorders>
              <w:top w:val="single" w:sz="8" w:color="auto"/>
              <w:bottom w:val="single" w:sz="8" w:color="9A9A9A"/>
            </w:tcBorders>
          </w:tcPr>
          <w:p>
            <w:pPr>
              <w:spacing w:after="0"/>
              <w:rPr>
                <w:sz w:val="24"/>
                <w:szCs w:val="24"/>
                <w:color w:val="auto"/>
              </w:rPr>
            </w:pPr>
          </w:p>
        </w:tc>
        <w:tc>
          <w:tcPr>
            <w:tcW w:w="120" w:type="dxa"/>
            <w:vAlign w:val="bottom"/>
            <w:tcBorders>
              <w:top w:val="single" w:sz="8" w:color="CCFFCC"/>
              <w:bottom w:val="single" w:sz="8" w:color="9A9A9A"/>
            </w:tcBorders>
          </w:tcPr>
          <w:p>
            <w:pPr>
              <w:spacing w:after="0"/>
              <w:rPr>
                <w:sz w:val="24"/>
                <w:szCs w:val="24"/>
                <w:color w:val="auto"/>
              </w:rPr>
            </w:pPr>
          </w:p>
        </w:tc>
        <w:tc>
          <w:tcPr>
            <w:tcW w:w="140" w:type="dxa"/>
            <w:vAlign w:val="bottom"/>
            <w:tcBorders>
              <w:top w:val="single" w:sz="8" w:color="auto"/>
              <w:bottom w:val="single" w:sz="8" w:color="9A9A9A"/>
            </w:tcBorders>
          </w:tcPr>
          <w:p>
            <w:pPr>
              <w:spacing w:after="0"/>
              <w:rPr>
                <w:sz w:val="24"/>
                <w:szCs w:val="24"/>
                <w:color w:val="auto"/>
              </w:rPr>
            </w:pPr>
          </w:p>
        </w:tc>
        <w:tc>
          <w:tcPr>
            <w:tcW w:w="740" w:type="dxa"/>
            <w:vAlign w:val="bottom"/>
            <w:tcBorders>
              <w:top w:val="single" w:sz="8" w:color="auto"/>
              <w:bottom w:val="single" w:sz="8" w:color="9A9A9A"/>
            </w:tcBorders>
          </w:tcPr>
          <w:p>
            <w:pPr>
              <w:spacing w:after="0"/>
              <w:rPr>
                <w:sz w:val="24"/>
                <w:szCs w:val="24"/>
                <w:color w:val="auto"/>
              </w:rPr>
            </w:pPr>
          </w:p>
        </w:tc>
        <w:tc>
          <w:tcPr>
            <w:tcW w:w="120" w:type="dxa"/>
            <w:vAlign w:val="bottom"/>
            <w:tcBorders>
              <w:top w:val="single" w:sz="8" w:color="CCFFCC"/>
              <w:bottom w:val="single" w:sz="8" w:color="9A9A9A"/>
            </w:tcBorders>
          </w:tcPr>
          <w:p>
            <w:pPr>
              <w:spacing w:after="0"/>
              <w:rPr>
                <w:sz w:val="24"/>
                <w:szCs w:val="24"/>
                <w:color w:val="auto"/>
              </w:rPr>
            </w:pPr>
          </w:p>
        </w:tc>
        <w:tc>
          <w:tcPr>
            <w:tcW w:w="900" w:type="dxa"/>
            <w:vAlign w:val="bottom"/>
            <w:tcBorders>
              <w:top w:val="single" w:sz="8" w:color="auto"/>
              <w:bottom w:val="single" w:sz="8" w:color="9A9A9A"/>
            </w:tcBorders>
          </w:tcPr>
          <w:p>
            <w:pPr>
              <w:spacing w:after="0"/>
              <w:rPr>
                <w:sz w:val="24"/>
                <w:szCs w:val="24"/>
                <w:color w:val="auto"/>
              </w:rPr>
            </w:pPr>
          </w:p>
        </w:tc>
        <w:tc>
          <w:tcPr>
            <w:tcW w:w="100" w:type="dxa"/>
            <w:vAlign w:val="bottom"/>
            <w:tcBorders>
              <w:top w:val="single" w:sz="8" w:color="CCFFCC"/>
              <w:bottom w:val="single" w:sz="8" w:color="9A9A9A"/>
            </w:tcBorders>
          </w:tcPr>
          <w:p>
            <w:pPr>
              <w:spacing w:after="0"/>
              <w:rPr>
                <w:sz w:val="24"/>
                <w:szCs w:val="24"/>
                <w:color w:val="auto"/>
              </w:rPr>
            </w:pPr>
          </w:p>
        </w:tc>
        <w:tc>
          <w:tcPr>
            <w:tcW w:w="900" w:type="dxa"/>
            <w:vAlign w:val="bottom"/>
            <w:tcBorders>
              <w:top w:val="single" w:sz="8" w:color="auto"/>
              <w:bottom w:val="single" w:sz="8" w:color="9A9A9A"/>
            </w:tcBorders>
          </w:tcPr>
          <w:p>
            <w:pPr>
              <w:spacing w:after="0"/>
              <w:rPr>
                <w:sz w:val="24"/>
                <w:szCs w:val="24"/>
                <w:color w:val="auto"/>
              </w:rPr>
            </w:pPr>
          </w:p>
        </w:tc>
        <w:tc>
          <w:tcPr>
            <w:tcW w:w="120" w:type="dxa"/>
            <w:vAlign w:val="bottom"/>
            <w:tcBorders>
              <w:top w:val="single" w:sz="8" w:color="CCFFCC"/>
              <w:bottom w:val="single" w:sz="8" w:color="9A9A9A"/>
            </w:tcBorders>
          </w:tcPr>
          <w:p>
            <w:pPr>
              <w:spacing w:after="0"/>
              <w:rPr>
                <w:sz w:val="24"/>
                <w:szCs w:val="24"/>
                <w:color w:val="auto"/>
              </w:rPr>
            </w:pPr>
          </w:p>
        </w:tc>
        <w:tc>
          <w:tcPr>
            <w:tcW w:w="1040" w:type="dxa"/>
            <w:vAlign w:val="bottom"/>
            <w:tcBorders>
              <w:top w:val="single" w:sz="8" w:color="auto"/>
              <w:bottom w:val="single" w:sz="8" w:color="9A9A9A"/>
            </w:tcBorders>
          </w:tcPr>
          <w:p>
            <w:pPr>
              <w:spacing w:after="0"/>
              <w:rPr>
                <w:sz w:val="24"/>
                <w:szCs w:val="24"/>
                <w:color w:val="auto"/>
              </w:rPr>
            </w:pPr>
          </w:p>
        </w:tc>
        <w:tc>
          <w:tcPr>
            <w:tcW w:w="120" w:type="dxa"/>
            <w:vAlign w:val="bottom"/>
            <w:tcBorders>
              <w:top w:val="single" w:sz="8" w:color="CCFFCC"/>
              <w:bottom w:val="single" w:sz="8" w:color="9A9A9A"/>
            </w:tcBorders>
          </w:tcPr>
          <w:p>
            <w:pPr>
              <w:spacing w:after="0"/>
              <w:rPr>
                <w:sz w:val="24"/>
                <w:szCs w:val="24"/>
                <w:color w:val="auto"/>
              </w:rPr>
            </w:pPr>
          </w:p>
        </w:tc>
        <w:tc>
          <w:tcPr>
            <w:tcW w:w="880" w:type="dxa"/>
            <w:vAlign w:val="bottom"/>
            <w:tcBorders>
              <w:top w:val="single" w:sz="8" w:color="auto"/>
              <w:bottom w:val="single" w:sz="8" w:color="9A9A9A"/>
            </w:tcBorders>
          </w:tcPr>
          <w:p>
            <w:pPr>
              <w:spacing w:after="0"/>
              <w:rPr>
                <w:sz w:val="24"/>
                <w:szCs w:val="24"/>
                <w:color w:val="auto"/>
              </w:rPr>
            </w:pPr>
          </w:p>
        </w:tc>
        <w:tc>
          <w:tcPr>
            <w:tcW w:w="120" w:type="dxa"/>
            <w:vAlign w:val="bottom"/>
            <w:tcBorders>
              <w:top w:val="single" w:sz="8" w:color="CCFFCC"/>
              <w:bottom w:val="single" w:sz="8" w:color="9A9A9A"/>
            </w:tcBorders>
          </w:tcPr>
          <w:p>
            <w:pPr>
              <w:spacing w:after="0"/>
              <w:rPr>
                <w:sz w:val="24"/>
                <w:szCs w:val="24"/>
                <w:color w:val="auto"/>
              </w:rPr>
            </w:pPr>
          </w:p>
        </w:tc>
        <w:tc>
          <w:tcPr>
            <w:tcW w:w="1000" w:type="dxa"/>
            <w:vAlign w:val="bottom"/>
            <w:tcBorders>
              <w:top w:val="single" w:sz="8" w:color="auto"/>
              <w:bottom w:val="single" w:sz="8" w:color="9A9A9A"/>
            </w:tcBorders>
          </w:tcPr>
          <w:p>
            <w:pPr>
              <w:spacing w:after="0"/>
              <w:rPr>
                <w:sz w:val="24"/>
                <w:szCs w:val="24"/>
                <w:color w:val="auto"/>
              </w:rPr>
            </w:pPr>
          </w:p>
        </w:tc>
        <w:tc>
          <w:tcPr>
            <w:tcW w:w="100" w:type="dxa"/>
            <w:vAlign w:val="bottom"/>
            <w:tcBorders>
              <w:top w:val="single" w:sz="8" w:color="CCFFCC"/>
              <w:bottom w:val="single" w:sz="8" w:color="9A9A9A"/>
            </w:tcBorders>
          </w:tcPr>
          <w:p>
            <w:pPr>
              <w:spacing w:after="0"/>
              <w:rPr>
                <w:sz w:val="24"/>
                <w:szCs w:val="24"/>
                <w:color w:val="auto"/>
              </w:rPr>
            </w:pPr>
          </w:p>
        </w:tc>
        <w:tc>
          <w:tcPr>
            <w:tcW w:w="120" w:type="dxa"/>
            <w:vAlign w:val="bottom"/>
            <w:tcBorders>
              <w:top w:val="single" w:sz="8" w:color="auto"/>
              <w:bottom w:val="single" w:sz="8" w:color="9A9A9A"/>
            </w:tcBorders>
          </w:tcPr>
          <w:p>
            <w:pPr>
              <w:spacing w:after="0"/>
              <w:rPr>
                <w:sz w:val="24"/>
                <w:szCs w:val="24"/>
                <w:color w:val="auto"/>
              </w:rPr>
            </w:pPr>
          </w:p>
        </w:tc>
        <w:tc>
          <w:tcPr>
            <w:tcW w:w="780" w:type="dxa"/>
            <w:vAlign w:val="bottom"/>
            <w:tcBorders>
              <w:top w:val="single" w:sz="8" w:color="auto"/>
              <w:bottom w:val="single" w:sz="8" w:color="9A9A9A"/>
            </w:tcBorders>
          </w:tcPr>
          <w:p>
            <w:pPr>
              <w:spacing w:after="0"/>
              <w:rPr>
                <w:sz w:val="24"/>
                <w:szCs w:val="24"/>
                <w:color w:val="auto"/>
              </w:rPr>
            </w:pPr>
          </w:p>
        </w:tc>
        <w:tc>
          <w:tcPr>
            <w:tcW w:w="100" w:type="dxa"/>
            <w:vAlign w:val="bottom"/>
            <w:tcBorders>
              <w:top w:val="single" w:sz="8" w:color="CCFFCC"/>
              <w:bottom w:val="single" w:sz="8" w:color="9A9A9A"/>
            </w:tcBorders>
          </w:tcPr>
          <w:p>
            <w:pPr>
              <w:spacing w:after="0"/>
              <w:rPr>
                <w:sz w:val="24"/>
                <w:szCs w:val="24"/>
                <w:color w:val="auto"/>
              </w:rPr>
            </w:pPr>
          </w:p>
        </w:tc>
        <w:tc>
          <w:tcPr>
            <w:tcW w:w="920" w:type="dxa"/>
            <w:vAlign w:val="bottom"/>
            <w:tcBorders>
              <w:top w:val="single" w:sz="8" w:color="auto"/>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1856740</wp:posOffset>
            </wp:positionH>
            <wp:positionV relativeFrom="paragraph">
              <wp:posOffset>-4156710</wp:posOffset>
            </wp:positionV>
            <wp:extent cx="6858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1856740</wp:posOffset>
            </wp:positionH>
            <wp:positionV relativeFrom="paragraph">
              <wp:posOffset>-4139565</wp:posOffset>
            </wp:positionV>
            <wp:extent cx="6858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2491105</wp:posOffset>
            </wp:positionH>
            <wp:positionV relativeFrom="paragraph">
              <wp:posOffset>-4156710</wp:posOffset>
            </wp:positionV>
            <wp:extent cx="6858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2491105</wp:posOffset>
            </wp:positionH>
            <wp:positionV relativeFrom="paragraph">
              <wp:posOffset>-4139565</wp:posOffset>
            </wp:positionV>
            <wp:extent cx="6858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3133725</wp:posOffset>
            </wp:positionH>
            <wp:positionV relativeFrom="paragraph">
              <wp:posOffset>-4156710</wp:posOffset>
            </wp:positionV>
            <wp:extent cx="6858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3133725</wp:posOffset>
            </wp:positionH>
            <wp:positionV relativeFrom="paragraph">
              <wp:posOffset>-4139565</wp:posOffset>
            </wp:positionV>
            <wp:extent cx="6858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-4156710</wp:posOffset>
            </wp:positionV>
            <wp:extent cx="6858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-4139565</wp:posOffset>
            </wp:positionV>
            <wp:extent cx="6858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-4156710</wp:posOffset>
            </wp:positionV>
            <wp:extent cx="6858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-4139565</wp:posOffset>
            </wp:positionV>
            <wp:extent cx="6858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-4156710</wp:posOffset>
            </wp:positionV>
            <wp:extent cx="7683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-4139565</wp:posOffset>
            </wp:positionV>
            <wp:extent cx="7683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-4156710</wp:posOffset>
            </wp:positionV>
            <wp:extent cx="6858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-4139565</wp:posOffset>
            </wp:positionV>
            <wp:extent cx="6858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-4156710</wp:posOffset>
            </wp:positionV>
            <wp:extent cx="6858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-4139565</wp:posOffset>
            </wp:positionV>
            <wp:extent cx="6858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1856740</wp:posOffset>
            </wp:positionH>
            <wp:positionV relativeFrom="paragraph">
              <wp:posOffset>-3299460</wp:posOffset>
            </wp:positionV>
            <wp:extent cx="6858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1856740</wp:posOffset>
            </wp:positionH>
            <wp:positionV relativeFrom="paragraph">
              <wp:posOffset>-3282315</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2491105</wp:posOffset>
            </wp:positionH>
            <wp:positionV relativeFrom="paragraph">
              <wp:posOffset>-3299460</wp:posOffset>
            </wp:positionV>
            <wp:extent cx="6858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2491105</wp:posOffset>
            </wp:positionH>
            <wp:positionV relativeFrom="paragraph">
              <wp:posOffset>-3282315</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3133725</wp:posOffset>
            </wp:positionH>
            <wp:positionV relativeFrom="paragraph">
              <wp:posOffset>-3299460</wp:posOffset>
            </wp:positionV>
            <wp:extent cx="6858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3133725</wp:posOffset>
            </wp:positionH>
            <wp:positionV relativeFrom="paragraph">
              <wp:posOffset>-3282315</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-3299460</wp:posOffset>
            </wp:positionV>
            <wp:extent cx="6858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-3282315</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-3299460</wp:posOffset>
            </wp:positionV>
            <wp:extent cx="6858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-3282315</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-3299460</wp:posOffset>
            </wp:positionV>
            <wp:extent cx="7683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-3282315</wp:posOffset>
            </wp:positionV>
            <wp:extent cx="7683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-3299460</wp:posOffset>
            </wp:positionV>
            <wp:extent cx="6858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-3282315</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-3299460</wp:posOffset>
            </wp:positionV>
            <wp:extent cx="6858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-3282315</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1856740</wp:posOffset>
            </wp:positionH>
            <wp:positionV relativeFrom="paragraph">
              <wp:posOffset>-2176780</wp:posOffset>
            </wp:positionV>
            <wp:extent cx="6858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2491105</wp:posOffset>
            </wp:positionH>
            <wp:positionV relativeFrom="paragraph">
              <wp:posOffset>-2176780</wp:posOffset>
            </wp:positionV>
            <wp:extent cx="6858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3133725</wp:posOffset>
            </wp:positionH>
            <wp:positionV relativeFrom="paragraph">
              <wp:posOffset>-2176780</wp:posOffset>
            </wp:positionV>
            <wp:extent cx="6858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-2176780</wp:posOffset>
            </wp:positionV>
            <wp:extent cx="6858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-2176780</wp:posOffset>
            </wp:positionV>
            <wp:extent cx="6858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-2176780</wp:posOffset>
            </wp:positionV>
            <wp:extent cx="7683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-2176780</wp:posOffset>
            </wp:positionV>
            <wp:extent cx="6858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-2176780</wp:posOffset>
            </wp:positionV>
            <wp:extent cx="6858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1856740</wp:posOffset>
            </wp:positionH>
            <wp:positionV relativeFrom="paragraph">
              <wp:posOffset>-1173480</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1856740</wp:posOffset>
            </wp:positionH>
            <wp:positionV relativeFrom="paragraph">
              <wp:posOffset>-1156335</wp:posOffset>
            </wp:positionV>
            <wp:extent cx="6858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2491105</wp:posOffset>
            </wp:positionH>
            <wp:positionV relativeFrom="paragraph">
              <wp:posOffset>-1173480</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2491105</wp:posOffset>
            </wp:positionH>
            <wp:positionV relativeFrom="paragraph">
              <wp:posOffset>-1156335</wp:posOffset>
            </wp:positionV>
            <wp:extent cx="6858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3133725</wp:posOffset>
            </wp:positionH>
            <wp:positionV relativeFrom="paragraph">
              <wp:posOffset>-1173480</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3133725</wp:posOffset>
            </wp:positionH>
            <wp:positionV relativeFrom="paragraph">
              <wp:posOffset>-1156335</wp:posOffset>
            </wp:positionV>
            <wp:extent cx="6858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-1173480</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-1156335</wp:posOffset>
            </wp:positionV>
            <wp:extent cx="6858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-1173480</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-1156335</wp:posOffset>
            </wp:positionV>
            <wp:extent cx="6858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-1173480</wp:posOffset>
            </wp:positionV>
            <wp:extent cx="7683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-1156335</wp:posOffset>
            </wp:positionV>
            <wp:extent cx="7683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-1173480</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-1156335</wp:posOffset>
            </wp:positionV>
            <wp:extent cx="6858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-1173480</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-1156335</wp:posOffset>
            </wp:positionV>
            <wp:extent cx="6858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6" w:name="page17"/>
    <w:bookmarkEnd w:id="16"/>
    <w:p>
      <w:pPr>
        <w:ind w:left="360" w:hanging="352"/>
        <w:spacing w:after="0"/>
        <w:tabs>
          <w:tab w:leader="none" w:pos="36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Impact of Currency Fluctuation</w:t>
      </w:r>
    </w:p>
    <w:p>
      <w:pPr>
        <w:spacing w:after="0" w:line="121"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following table reflects the increases (decreases) in the results of operations for each period attributable to the change in foreign currency exchange rates from the prior period as well as foreign currency gains (losses) included in other income, net for each period (in thousands):</w:t>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24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2"/>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2025</w:t>
            </w:r>
          </w:p>
        </w:tc>
        <w:tc>
          <w:tcPr>
            <w:tcW w:w="7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240" w:type="dxa"/>
            <w:vAlign w:val="bottom"/>
          </w:tcPr>
          <w:p>
            <w:pPr>
              <w:spacing w:after="0"/>
              <w:rPr>
                <w:sz w:val="12"/>
                <w:szCs w:val="12"/>
                <w:color w:val="auto"/>
              </w:rPr>
            </w:pPr>
          </w:p>
        </w:tc>
        <w:tc>
          <w:tcPr>
            <w:tcW w:w="880" w:type="dxa"/>
            <w:vAlign w:val="bottom"/>
            <w:tcBorders>
              <w:bottom w:val="single" w:sz="8" w:color="auto"/>
            </w:tcBorders>
          </w:tcPr>
          <w:p>
            <w:pPr>
              <w:jc w:val="right"/>
              <w:ind w:right="153"/>
              <w:spacing w:after="0" w:line="142" w:lineRule="exact"/>
              <w:rPr>
                <w:sz w:val="20"/>
                <w:szCs w:val="20"/>
                <w:color w:val="auto"/>
              </w:rPr>
            </w:pPr>
            <w:r>
              <w:rPr>
                <w:rFonts w:ascii="Times New Roman" w:cs="Times New Roman" w:eastAsia="Times New Roman" w:hAnsi="Times New Roman"/>
                <w:sz w:val="14"/>
                <w:szCs w:val="14"/>
                <w:b w:val="1"/>
                <w:bCs w:val="1"/>
                <w:color w:val="auto"/>
              </w:rPr>
              <w:t>1st Qtr</w:t>
            </w:r>
          </w:p>
        </w:tc>
        <w:tc>
          <w:tcPr>
            <w:tcW w:w="100" w:type="dxa"/>
            <w:vAlign w:val="bottom"/>
          </w:tcPr>
          <w:p>
            <w:pPr>
              <w:spacing w:after="0"/>
              <w:rPr>
                <w:sz w:val="12"/>
                <w:szCs w:val="12"/>
                <w:color w:val="auto"/>
              </w:rPr>
            </w:pPr>
          </w:p>
        </w:tc>
        <w:tc>
          <w:tcPr>
            <w:tcW w:w="880" w:type="dxa"/>
            <w:vAlign w:val="bottom"/>
            <w:tcBorders>
              <w:bottom w:val="single" w:sz="8" w:color="auto"/>
            </w:tcBorders>
          </w:tcPr>
          <w:p>
            <w:pPr>
              <w:jc w:val="right"/>
              <w:ind w:right="115"/>
              <w:spacing w:after="0" w:line="142" w:lineRule="exact"/>
              <w:rPr>
                <w:sz w:val="20"/>
                <w:szCs w:val="20"/>
                <w:color w:val="auto"/>
              </w:rPr>
            </w:pPr>
            <w:r>
              <w:rPr>
                <w:rFonts w:ascii="Times New Roman" w:cs="Times New Roman" w:eastAsia="Times New Roman" w:hAnsi="Times New Roman"/>
                <w:sz w:val="14"/>
                <w:szCs w:val="14"/>
                <w:b w:val="1"/>
                <w:bCs w:val="1"/>
                <w:color w:val="auto"/>
              </w:rPr>
              <w:t>2nd Qtr</w:t>
            </w:r>
          </w:p>
        </w:tc>
        <w:tc>
          <w:tcPr>
            <w:tcW w:w="100" w:type="dxa"/>
            <w:vAlign w:val="bottom"/>
          </w:tcPr>
          <w:p>
            <w:pPr>
              <w:spacing w:after="0"/>
              <w:rPr>
                <w:sz w:val="12"/>
                <w:szCs w:val="12"/>
                <w:color w:val="auto"/>
              </w:rPr>
            </w:pPr>
          </w:p>
        </w:tc>
        <w:tc>
          <w:tcPr>
            <w:tcW w:w="900" w:type="dxa"/>
            <w:vAlign w:val="bottom"/>
            <w:tcBorders>
              <w:bottom w:val="single" w:sz="8" w:color="auto"/>
            </w:tcBorders>
          </w:tcPr>
          <w:p>
            <w:pPr>
              <w:jc w:val="right"/>
              <w:ind w:right="135"/>
              <w:spacing w:after="0" w:line="142" w:lineRule="exact"/>
              <w:rPr>
                <w:sz w:val="20"/>
                <w:szCs w:val="20"/>
                <w:color w:val="auto"/>
              </w:rPr>
            </w:pPr>
            <w:r>
              <w:rPr>
                <w:rFonts w:ascii="Times New Roman" w:cs="Times New Roman" w:eastAsia="Times New Roman" w:hAnsi="Times New Roman"/>
                <w:sz w:val="14"/>
                <w:szCs w:val="14"/>
                <w:b w:val="1"/>
                <w:bCs w:val="1"/>
                <w:color w:val="auto"/>
              </w:rPr>
              <w:t>3rd Qtr</w:t>
            </w:r>
          </w:p>
        </w:tc>
        <w:tc>
          <w:tcPr>
            <w:tcW w:w="100" w:type="dxa"/>
            <w:vAlign w:val="bottom"/>
          </w:tcPr>
          <w:p>
            <w:pPr>
              <w:spacing w:after="0"/>
              <w:rPr>
                <w:sz w:val="12"/>
                <w:szCs w:val="12"/>
                <w:color w:val="auto"/>
              </w:rPr>
            </w:pPr>
          </w:p>
        </w:tc>
        <w:tc>
          <w:tcPr>
            <w:tcW w:w="900" w:type="dxa"/>
            <w:vAlign w:val="bottom"/>
            <w:tcBorders>
              <w:bottom w:val="single" w:sz="8" w:color="auto"/>
            </w:tcBorders>
          </w:tcPr>
          <w:p>
            <w:pPr>
              <w:jc w:val="right"/>
              <w:ind w:right="135"/>
              <w:spacing w:after="0" w:line="142" w:lineRule="exact"/>
              <w:rPr>
                <w:sz w:val="20"/>
                <w:szCs w:val="20"/>
                <w:color w:val="auto"/>
              </w:rPr>
            </w:pPr>
            <w:r>
              <w:rPr>
                <w:rFonts w:ascii="Times New Roman" w:cs="Times New Roman" w:eastAsia="Times New Roman" w:hAnsi="Times New Roman"/>
                <w:sz w:val="14"/>
                <w:szCs w:val="14"/>
                <w:b w:val="1"/>
                <w:bCs w:val="1"/>
                <w:color w:val="auto"/>
              </w:rPr>
              <w:t>4th Qtr</w:t>
            </w:r>
          </w:p>
        </w:tc>
        <w:tc>
          <w:tcPr>
            <w:tcW w:w="100" w:type="dxa"/>
            <w:vAlign w:val="bottom"/>
          </w:tcPr>
          <w:p>
            <w:pPr>
              <w:spacing w:after="0"/>
              <w:rPr>
                <w:sz w:val="12"/>
                <w:szCs w:val="12"/>
                <w:color w:val="auto"/>
              </w:rPr>
            </w:pPr>
          </w:p>
        </w:tc>
        <w:tc>
          <w:tcPr>
            <w:tcW w:w="900" w:type="dxa"/>
            <w:vAlign w:val="bottom"/>
            <w:tcBorders>
              <w:bottom w:val="single" w:sz="8" w:color="auto"/>
            </w:tcBorders>
          </w:tcPr>
          <w:p>
            <w:pPr>
              <w:jc w:val="right"/>
              <w:ind w:right="75"/>
              <w:spacing w:after="0" w:line="142" w:lineRule="exact"/>
              <w:rPr>
                <w:sz w:val="20"/>
                <w:szCs w:val="20"/>
                <w:color w:val="auto"/>
              </w:rPr>
            </w:pPr>
            <w:r>
              <w:rPr>
                <w:rFonts w:ascii="Times New Roman" w:cs="Times New Roman" w:eastAsia="Times New Roman" w:hAnsi="Times New Roman"/>
                <w:sz w:val="14"/>
                <w:szCs w:val="14"/>
                <w:b w:val="1"/>
                <w:bCs w:val="1"/>
                <w:color w:val="auto"/>
              </w:rPr>
              <w:t>Full Year</w:t>
            </w:r>
          </w:p>
        </w:tc>
        <w:tc>
          <w:tcPr>
            <w:tcW w:w="100" w:type="dxa"/>
            <w:vAlign w:val="bottom"/>
          </w:tcPr>
          <w:p>
            <w:pPr>
              <w:spacing w:after="0"/>
              <w:rPr>
                <w:sz w:val="12"/>
                <w:szCs w:val="12"/>
                <w:color w:val="auto"/>
              </w:rPr>
            </w:pPr>
          </w:p>
        </w:tc>
        <w:tc>
          <w:tcPr>
            <w:tcW w:w="900" w:type="dxa"/>
            <w:vAlign w:val="bottom"/>
            <w:tcBorders>
              <w:bottom w:val="single" w:sz="8" w:color="auto"/>
            </w:tcBorders>
          </w:tcPr>
          <w:p>
            <w:pPr>
              <w:jc w:val="right"/>
              <w:ind w:right="155"/>
              <w:spacing w:after="0" w:line="142" w:lineRule="exact"/>
              <w:rPr>
                <w:sz w:val="20"/>
                <w:szCs w:val="20"/>
                <w:color w:val="auto"/>
              </w:rPr>
            </w:pPr>
            <w:r>
              <w:rPr>
                <w:rFonts w:ascii="Times New Roman" w:cs="Times New Roman" w:eastAsia="Times New Roman" w:hAnsi="Times New Roman"/>
                <w:sz w:val="14"/>
                <w:szCs w:val="14"/>
                <w:b w:val="1"/>
                <w:bCs w:val="1"/>
                <w:color w:val="auto"/>
              </w:rPr>
              <w:t>1st Qtr</w:t>
            </w:r>
          </w:p>
        </w:tc>
        <w:tc>
          <w:tcPr>
            <w:tcW w:w="120" w:type="dxa"/>
            <w:vAlign w:val="bottom"/>
          </w:tcPr>
          <w:p>
            <w:pPr>
              <w:spacing w:after="0"/>
              <w:rPr>
                <w:sz w:val="12"/>
                <w:szCs w:val="12"/>
                <w:color w:val="auto"/>
              </w:rPr>
            </w:pPr>
          </w:p>
        </w:tc>
        <w:tc>
          <w:tcPr>
            <w:tcW w:w="1000" w:type="dxa"/>
            <w:vAlign w:val="bottom"/>
            <w:tcBorders>
              <w:bottom w:val="single" w:sz="8" w:color="auto"/>
            </w:tcBorders>
          </w:tcPr>
          <w:p>
            <w:pPr>
              <w:jc w:val="right"/>
              <w:ind w:right="175"/>
              <w:spacing w:after="0" w:line="142" w:lineRule="exact"/>
              <w:rPr>
                <w:sz w:val="20"/>
                <w:szCs w:val="20"/>
                <w:color w:val="auto"/>
              </w:rPr>
            </w:pPr>
            <w:r>
              <w:rPr>
                <w:rFonts w:ascii="Times New Roman" w:cs="Times New Roman" w:eastAsia="Times New Roman" w:hAnsi="Times New Roman"/>
                <w:sz w:val="14"/>
                <w:szCs w:val="14"/>
                <w:b w:val="1"/>
                <w:bCs w:val="1"/>
                <w:color w:val="auto"/>
              </w:rPr>
              <w:t>2nd Qtr</w:t>
            </w: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133"/>
              <w:spacing w:after="0" w:line="142" w:lineRule="exact"/>
              <w:rPr>
                <w:sz w:val="20"/>
                <w:szCs w:val="20"/>
                <w:color w:val="auto"/>
              </w:rPr>
            </w:pPr>
            <w:r>
              <w:rPr>
                <w:rFonts w:ascii="Times New Roman" w:cs="Times New Roman" w:eastAsia="Times New Roman" w:hAnsi="Times New Roman"/>
                <w:sz w:val="14"/>
                <w:szCs w:val="14"/>
                <w:b w:val="1"/>
                <w:bCs w:val="1"/>
                <w:color w:val="auto"/>
              </w:rPr>
              <w:t>3rd Qtr</w:t>
            </w:r>
          </w:p>
        </w:tc>
        <w:tc>
          <w:tcPr>
            <w:tcW w:w="100" w:type="dxa"/>
            <w:vAlign w:val="bottom"/>
          </w:tcPr>
          <w:p>
            <w:pPr>
              <w:spacing w:after="0"/>
              <w:rPr>
                <w:sz w:val="12"/>
                <w:szCs w:val="12"/>
                <w:color w:val="auto"/>
              </w:rPr>
            </w:pPr>
          </w:p>
        </w:tc>
        <w:tc>
          <w:tcPr>
            <w:tcW w:w="920" w:type="dxa"/>
            <w:vAlign w:val="bottom"/>
            <w:tcBorders>
              <w:bottom w:val="single" w:sz="8" w:color="auto"/>
            </w:tcBorders>
          </w:tcPr>
          <w:p>
            <w:pPr>
              <w:jc w:val="right"/>
              <w:ind w:right="235"/>
              <w:spacing w:after="0" w:line="142" w:lineRule="exact"/>
              <w:rPr>
                <w:sz w:val="20"/>
                <w:szCs w:val="20"/>
                <w:color w:val="auto"/>
              </w:rPr>
            </w:pPr>
            <w:r>
              <w:rPr>
                <w:rFonts w:ascii="Times New Roman" w:cs="Times New Roman" w:eastAsia="Times New Roman" w:hAnsi="Times New Roman"/>
                <w:sz w:val="14"/>
                <w:szCs w:val="14"/>
                <w:b w:val="1"/>
                <w:bCs w:val="1"/>
                <w:color w:val="auto"/>
              </w:rPr>
              <w:t>YTD</w:t>
            </w:r>
          </w:p>
        </w:tc>
        <w:tc>
          <w:tcPr>
            <w:tcW w:w="0" w:type="dxa"/>
            <w:vAlign w:val="bottom"/>
          </w:tcPr>
          <w:p>
            <w:pPr>
              <w:spacing w:after="0"/>
              <w:rPr>
                <w:sz w:val="1"/>
                <w:szCs w:val="1"/>
                <w:color w:val="auto"/>
              </w:rPr>
            </w:pPr>
          </w:p>
        </w:tc>
      </w:tr>
      <w:tr>
        <w:trPr>
          <w:trHeight w:val="209"/>
        </w:trPr>
        <w:tc>
          <w:tcPr>
            <w:tcW w:w="22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Revenue</w:t>
            </w:r>
          </w:p>
        </w:tc>
        <w:tc>
          <w:tcPr>
            <w:tcW w:w="8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98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10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$936</w:t>
            </w:r>
          </w:p>
        </w:tc>
        <w:tc>
          <w:tcPr>
            <w:tcW w:w="10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0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$1,369</w:t>
            </w:r>
          </w:p>
        </w:tc>
        <w:tc>
          <w:tcPr>
            <w:tcW w:w="10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$(1,591)</w:t>
            </w:r>
          </w:p>
        </w:tc>
        <w:tc>
          <w:tcPr>
            <w:tcW w:w="112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$2,724</w:t>
            </w: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7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$2,652</w:t>
            </w:r>
          </w:p>
        </w:tc>
        <w:tc>
          <w:tcPr>
            <w:tcW w:w="102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$3,785</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(673)</w:t>
            </w:r>
          </w:p>
        </w:tc>
        <w:tc>
          <w:tcPr>
            <w:tcW w:w="10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0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10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(1,966)</w:t>
            </w:r>
          </w:p>
        </w:tc>
        <w:tc>
          <w:tcPr>
            <w:tcW w:w="12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1,180</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10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09"/>
        </w:trPr>
        <w:tc>
          <w:tcPr>
            <w:tcW w:w="22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8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98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0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10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10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1,882</w:t>
            </w:r>
          </w:p>
        </w:tc>
        <w:tc>
          <w:tcPr>
            <w:tcW w:w="10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112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1,544</w:t>
            </w: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7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1,914</w:t>
            </w:r>
          </w:p>
        </w:tc>
        <w:tc>
          <w:tcPr>
            <w:tcW w:w="102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3,833</w:t>
            </w:r>
          </w:p>
        </w:tc>
        <w:tc>
          <w:tcPr>
            <w:tcW w:w="0" w:type="dxa"/>
            <w:vAlign w:val="bottom"/>
          </w:tcPr>
          <w:p>
            <w:pPr>
              <w:spacing w:after="0"/>
              <w:rPr>
                <w:sz w:val="1"/>
                <w:szCs w:val="1"/>
                <w:color w:val="auto"/>
              </w:rPr>
            </w:pPr>
          </w:p>
        </w:tc>
      </w:tr>
      <w:tr>
        <w:trPr>
          <w:trHeight w:val="198"/>
        </w:trPr>
        <w:tc>
          <w:tcPr>
            <w:tcW w:w="22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Foreign currency gains</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100" w:type="dxa"/>
            <w:vAlign w:val="bottom"/>
            <w:vMerge w:val="restart"/>
          </w:tcPr>
          <w:p>
            <w:pPr>
              <w:spacing w:after="0"/>
              <w:rPr>
                <w:sz w:val="17"/>
                <w:szCs w:val="17"/>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100" w:type="dxa"/>
            <w:vAlign w:val="bottom"/>
            <w:vMerge w:val="restart"/>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100" w:type="dxa"/>
            <w:vAlign w:val="bottom"/>
            <w:vMerge w:val="restart"/>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100" w:type="dxa"/>
            <w:vAlign w:val="bottom"/>
            <w:vMerge w:val="restart"/>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(953)</w:t>
            </w:r>
          </w:p>
        </w:tc>
        <w:tc>
          <w:tcPr>
            <w:tcW w:w="100" w:type="dxa"/>
            <w:vAlign w:val="bottom"/>
            <w:vMerge w:val="restart"/>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20" w:type="dxa"/>
            <w:vAlign w:val="bottom"/>
            <w:vMerge w:val="restart"/>
          </w:tcPr>
          <w:p>
            <w:pPr>
              <w:spacing w:after="0"/>
              <w:rPr>
                <w:sz w:val="17"/>
                <w:szCs w:val="17"/>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1,596</w:t>
            </w:r>
          </w:p>
        </w:tc>
        <w:tc>
          <w:tcPr>
            <w:tcW w:w="100" w:type="dxa"/>
            <w:vAlign w:val="bottom"/>
            <w:vMerge w:val="restart"/>
          </w:tcPr>
          <w:p>
            <w:pPr>
              <w:spacing w:after="0"/>
              <w:rPr>
                <w:sz w:val="17"/>
                <w:szCs w:val="17"/>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$1,662</w:t>
            </w:r>
          </w:p>
        </w:tc>
        <w:tc>
          <w:tcPr>
            <w:tcW w:w="0" w:type="dxa"/>
            <w:vAlign w:val="bottom"/>
          </w:tcPr>
          <w:p>
            <w:pPr>
              <w:spacing w:after="0"/>
              <w:rPr>
                <w:sz w:val="1"/>
                <w:szCs w:val="1"/>
                <w:color w:val="auto"/>
              </w:rPr>
            </w:pPr>
          </w:p>
        </w:tc>
      </w:tr>
      <w:tr>
        <w:trPr>
          <w:trHeight w:val="221"/>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(losses) in other income</w:t>
            </w:r>
          </w:p>
        </w:tc>
        <w:tc>
          <w:tcPr>
            <w:tcW w:w="880" w:type="dxa"/>
            <w:vAlign w:val="bottom"/>
            <w:tcBorders>
              <w:bottom w:val="single" w:sz="8" w:color="auto"/>
            </w:tcBorders>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2240" w:type="dxa"/>
            <w:vAlign w:val="bottom"/>
            <w:tcBorders>
              <w:bottom w:val="single" w:sz="8" w:color="CCFFCC"/>
            </w:tcBorders>
            <w:shd w:val="clear" w:color="auto" w:fill="CCFFCC"/>
          </w:tcPr>
          <w:p>
            <w:pPr>
              <w:spacing w:after="0"/>
              <w:rPr>
                <w:sz w:val="21"/>
                <w:szCs w:val="21"/>
                <w:color w:val="auto"/>
              </w:rPr>
            </w:pPr>
          </w:p>
        </w:tc>
        <w:tc>
          <w:tcPr>
            <w:tcW w:w="88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$(92)</w:t>
            </w:r>
          </w:p>
        </w:tc>
        <w:tc>
          <w:tcPr>
            <w:tcW w:w="100" w:type="dxa"/>
            <w:vAlign w:val="bottom"/>
            <w:tcBorders>
              <w:bottom w:val="single" w:sz="8" w:color="CCFFCC"/>
            </w:tcBorders>
            <w:shd w:val="clear" w:color="auto" w:fill="CCFFCC"/>
          </w:tcPr>
          <w:p>
            <w:pPr>
              <w:spacing w:after="0"/>
              <w:rPr>
                <w:sz w:val="21"/>
                <w:szCs w:val="21"/>
                <w:color w:val="auto"/>
              </w:rPr>
            </w:pPr>
          </w:p>
        </w:tc>
        <w:tc>
          <w:tcPr>
            <w:tcW w:w="88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$(435)</w:t>
            </w:r>
          </w:p>
        </w:tc>
        <w:tc>
          <w:tcPr>
            <w:tcW w:w="100" w:type="dxa"/>
            <w:vAlign w:val="bottom"/>
            <w:tcBorders>
              <w:bottom w:val="single" w:sz="8" w:color="CCFFCC"/>
            </w:tcBorders>
            <w:shd w:val="clear" w:color="auto" w:fill="CCFFCC"/>
          </w:tcPr>
          <w:p>
            <w:pPr>
              <w:spacing w:after="0"/>
              <w:rPr>
                <w:sz w:val="21"/>
                <w:szCs w:val="21"/>
                <w:color w:val="auto"/>
              </w:rPr>
            </w:pPr>
          </w:p>
        </w:tc>
        <w:tc>
          <w:tcPr>
            <w:tcW w:w="90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$394</w:t>
            </w:r>
          </w:p>
        </w:tc>
        <w:tc>
          <w:tcPr>
            <w:tcW w:w="100" w:type="dxa"/>
            <w:vAlign w:val="bottom"/>
            <w:tcBorders>
              <w:bottom w:val="single" w:sz="8" w:color="CCFFCC"/>
            </w:tcBorders>
            <w:shd w:val="clear" w:color="auto" w:fill="CCFFCC"/>
          </w:tcPr>
          <w:p>
            <w:pPr>
              <w:spacing w:after="0"/>
              <w:rPr>
                <w:sz w:val="21"/>
                <w:szCs w:val="21"/>
                <w:color w:val="auto"/>
              </w:rPr>
            </w:pPr>
          </w:p>
        </w:tc>
        <w:tc>
          <w:tcPr>
            <w:tcW w:w="90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$1,062</w:t>
            </w:r>
          </w:p>
        </w:tc>
        <w:tc>
          <w:tcPr>
            <w:tcW w:w="100" w:type="dxa"/>
            <w:vAlign w:val="bottom"/>
            <w:tcBorders>
              <w:bottom w:val="single" w:sz="8" w:color="CCFFCC"/>
            </w:tcBorders>
            <w:shd w:val="clear" w:color="auto" w:fill="CCFFCC"/>
          </w:tcPr>
          <w:p>
            <w:pPr>
              <w:spacing w:after="0"/>
              <w:rPr>
                <w:sz w:val="21"/>
                <w:szCs w:val="21"/>
                <w:color w:val="auto"/>
              </w:rPr>
            </w:pPr>
          </w:p>
        </w:tc>
        <w:tc>
          <w:tcPr>
            <w:tcW w:w="90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$929</w:t>
            </w:r>
          </w:p>
        </w:tc>
        <w:tc>
          <w:tcPr>
            <w:tcW w:w="100" w:type="dxa"/>
            <w:vAlign w:val="bottom"/>
            <w:tcBorders>
              <w:bottom w:val="single" w:sz="8" w:color="CCFFCC"/>
            </w:tcBorders>
            <w:shd w:val="clear" w:color="auto" w:fill="CCFFCC"/>
          </w:tcPr>
          <w:p>
            <w:pPr>
              <w:spacing w:after="0"/>
              <w:rPr>
                <w:sz w:val="21"/>
                <w:szCs w:val="21"/>
                <w:color w:val="auto"/>
              </w:rPr>
            </w:pPr>
          </w:p>
        </w:tc>
        <w:tc>
          <w:tcPr>
            <w:tcW w:w="90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$506</w:t>
            </w:r>
          </w:p>
        </w:tc>
        <w:tc>
          <w:tcPr>
            <w:tcW w:w="120" w:type="dxa"/>
            <w:vAlign w:val="bottom"/>
            <w:tcBorders>
              <w:bottom w:val="single" w:sz="8" w:color="CCFFCC"/>
            </w:tcBorders>
            <w:shd w:val="clear" w:color="auto" w:fill="CCFFCC"/>
          </w:tcPr>
          <w:p>
            <w:pPr>
              <w:spacing w:after="0"/>
              <w:rPr>
                <w:sz w:val="21"/>
                <w:szCs w:val="21"/>
                <w:color w:val="auto"/>
              </w:rPr>
            </w:pPr>
          </w:p>
        </w:tc>
        <w:tc>
          <w:tcPr>
            <w:tcW w:w="100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$1,479</w:t>
            </w:r>
          </w:p>
        </w:tc>
        <w:tc>
          <w:tcPr>
            <w:tcW w:w="10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auto"/>
            </w:tcBorders>
            <w:shd w:val="clear" w:color="auto" w:fill="CCFFCC"/>
          </w:tcPr>
          <w:p>
            <w:pPr>
              <w:spacing w:after="0"/>
              <w:rPr>
                <w:sz w:val="21"/>
                <w:szCs w:val="21"/>
                <w:color w:val="auto"/>
              </w:rPr>
            </w:pPr>
          </w:p>
        </w:tc>
        <w:tc>
          <w:tcPr>
            <w:tcW w:w="78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$3,510</w:t>
            </w:r>
          </w:p>
        </w:tc>
        <w:tc>
          <w:tcPr>
            <w:tcW w:w="100" w:type="dxa"/>
            <w:vAlign w:val="bottom"/>
            <w:tcBorders>
              <w:bottom w:val="single" w:sz="8" w:color="CCFFCC"/>
            </w:tcBorders>
            <w:shd w:val="clear" w:color="auto" w:fill="CCFFCC"/>
          </w:tcPr>
          <w:p>
            <w:pPr>
              <w:spacing w:after="0"/>
              <w:rPr>
                <w:sz w:val="21"/>
                <w:szCs w:val="21"/>
                <w:color w:val="auto"/>
              </w:rPr>
            </w:pPr>
          </w:p>
        </w:tc>
        <w:tc>
          <w:tcPr>
            <w:tcW w:w="92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$5,495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1976755</wp:posOffset>
            </wp:positionH>
            <wp:positionV relativeFrom="paragraph">
              <wp:posOffset>-24765</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-7620</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2602230</wp:posOffset>
            </wp:positionH>
            <wp:positionV relativeFrom="paragraph">
              <wp:posOffset>-24765</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2602230</wp:posOffset>
            </wp:positionH>
            <wp:positionV relativeFrom="paragraph">
              <wp:posOffset>-7620</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3236595</wp:posOffset>
            </wp:positionH>
            <wp:positionV relativeFrom="paragraph">
              <wp:posOffset>-24765</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3236595</wp:posOffset>
            </wp:positionH>
            <wp:positionV relativeFrom="paragraph">
              <wp:posOffset>-7620</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-24765</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-7620</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-24765</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-7620</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-24765</wp:posOffset>
            </wp:positionV>
            <wp:extent cx="7683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-7620</wp:posOffset>
            </wp:positionV>
            <wp:extent cx="7683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-24765</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-7620</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-24765</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-7620</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Manhattan Associates has a large research and development center in Bangalore, India. The following table reflects the increases (decreases) in the financial results for each period attributable to changes in the Indian Rupee exchange rate (in thousands):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24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2"/>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2025</w:t>
            </w:r>
          </w:p>
        </w:tc>
        <w:tc>
          <w:tcPr>
            <w:tcW w:w="7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240" w:type="dxa"/>
            <w:vAlign w:val="bottom"/>
          </w:tcPr>
          <w:p>
            <w:pPr>
              <w:spacing w:after="0"/>
              <w:rPr>
                <w:sz w:val="12"/>
                <w:szCs w:val="12"/>
                <w:color w:val="auto"/>
              </w:rPr>
            </w:pPr>
          </w:p>
        </w:tc>
        <w:tc>
          <w:tcPr>
            <w:tcW w:w="880" w:type="dxa"/>
            <w:vAlign w:val="bottom"/>
            <w:tcBorders>
              <w:bottom w:val="single" w:sz="8" w:color="auto"/>
            </w:tcBorders>
          </w:tcPr>
          <w:p>
            <w:pPr>
              <w:jc w:val="right"/>
              <w:ind w:right="155"/>
              <w:spacing w:after="0" w:line="142" w:lineRule="exact"/>
              <w:rPr>
                <w:sz w:val="20"/>
                <w:szCs w:val="20"/>
                <w:color w:val="auto"/>
              </w:rPr>
            </w:pPr>
            <w:r>
              <w:rPr>
                <w:rFonts w:ascii="Times New Roman" w:cs="Times New Roman" w:eastAsia="Times New Roman" w:hAnsi="Times New Roman"/>
                <w:sz w:val="14"/>
                <w:szCs w:val="14"/>
                <w:b w:val="1"/>
                <w:bCs w:val="1"/>
                <w:color w:val="auto"/>
              </w:rPr>
              <w:t>1st Qtr</w:t>
            </w:r>
          </w:p>
        </w:tc>
        <w:tc>
          <w:tcPr>
            <w:tcW w:w="100" w:type="dxa"/>
            <w:vAlign w:val="bottom"/>
          </w:tcPr>
          <w:p>
            <w:pPr>
              <w:spacing w:after="0"/>
              <w:rPr>
                <w:sz w:val="12"/>
                <w:szCs w:val="12"/>
                <w:color w:val="auto"/>
              </w:rPr>
            </w:pPr>
          </w:p>
        </w:tc>
        <w:tc>
          <w:tcPr>
            <w:tcW w:w="880" w:type="dxa"/>
            <w:vAlign w:val="bottom"/>
            <w:tcBorders>
              <w:bottom w:val="single" w:sz="8" w:color="auto"/>
            </w:tcBorders>
          </w:tcPr>
          <w:p>
            <w:pPr>
              <w:jc w:val="right"/>
              <w:ind w:right="116"/>
              <w:spacing w:after="0" w:line="142" w:lineRule="exact"/>
              <w:rPr>
                <w:sz w:val="20"/>
                <w:szCs w:val="20"/>
                <w:color w:val="auto"/>
              </w:rPr>
            </w:pPr>
            <w:r>
              <w:rPr>
                <w:rFonts w:ascii="Times New Roman" w:cs="Times New Roman" w:eastAsia="Times New Roman" w:hAnsi="Times New Roman"/>
                <w:sz w:val="14"/>
                <w:szCs w:val="14"/>
                <w:b w:val="1"/>
                <w:bCs w:val="1"/>
                <w:color w:val="auto"/>
              </w:rPr>
              <w:t>2nd Qtr</w:t>
            </w:r>
          </w:p>
        </w:tc>
        <w:tc>
          <w:tcPr>
            <w:tcW w:w="100" w:type="dxa"/>
            <w:vAlign w:val="bottom"/>
          </w:tcPr>
          <w:p>
            <w:pPr>
              <w:spacing w:after="0"/>
              <w:rPr>
                <w:sz w:val="12"/>
                <w:szCs w:val="12"/>
                <w:color w:val="auto"/>
              </w:rPr>
            </w:pPr>
          </w:p>
        </w:tc>
        <w:tc>
          <w:tcPr>
            <w:tcW w:w="900" w:type="dxa"/>
            <w:vAlign w:val="bottom"/>
            <w:tcBorders>
              <w:bottom w:val="single" w:sz="8" w:color="auto"/>
            </w:tcBorders>
          </w:tcPr>
          <w:p>
            <w:pPr>
              <w:jc w:val="right"/>
              <w:ind w:right="136"/>
              <w:spacing w:after="0" w:line="142" w:lineRule="exact"/>
              <w:rPr>
                <w:sz w:val="20"/>
                <w:szCs w:val="20"/>
                <w:color w:val="auto"/>
              </w:rPr>
            </w:pPr>
            <w:r>
              <w:rPr>
                <w:rFonts w:ascii="Times New Roman" w:cs="Times New Roman" w:eastAsia="Times New Roman" w:hAnsi="Times New Roman"/>
                <w:sz w:val="14"/>
                <w:szCs w:val="14"/>
                <w:b w:val="1"/>
                <w:bCs w:val="1"/>
                <w:color w:val="auto"/>
              </w:rPr>
              <w:t>3rd Qtr</w:t>
            </w:r>
          </w:p>
        </w:tc>
        <w:tc>
          <w:tcPr>
            <w:tcW w:w="100" w:type="dxa"/>
            <w:vAlign w:val="bottom"/>
          </w:tcPr>
          <w:p>
            <w:pPr>
              <w:spacing w:after="0"/>
              <w:rPr>
                <w:sz w:val="12"/>
                <w:szCs w:val="12"/>
                <w:color w:val="auto"/>
              </w:rPr>
            </w:pPr>
          </w:p>
        </w:tc>
        <w:tc>
          <w:tcPr>
            <w:tcW w:w="900" w:type="dxa"/>
            <w:vAlign w:val="bottom"/>
            <w:tcBorders>
              <w:bottom w:val="single" w:sz="8" w:color="auto"/>
            </w:tcBorders>
          </w:tcPr>
          <w:p>
            <w:pPr>
              <w:jc w:val="right"/>
              <w:ind w:right="136"/>
              <w:spacing w:after="0" w:line="142" w:lineRule="exact"/>
              <w:rPr>
                <w:sz w:val="20"/>
                <w:szCs w:val="20"/>
                <w:color w:val="auto"/>
              </w:rPr>
            </w:pPr>
            <w:r>
              <w:rPr>
                <w:rFonts w:ascii="Times New Roman" w:cs="Times New Roman" w:eastAsia="Times New Roman" w:hAnsi="Times New Roman"/>
                <w:sz w:val="14"/>
                <w:szCs w:val="14"/>
                <w:b w:val="1"/>
                <w:bCs w:val="1"/>
                <w:color w:val="auto"/>
              </w:rPr>
              <w:t>4th Qtr</w:t>
            </w:r>
          </w:p>
        </w:tc>
        <w:tc>
          <w:tcPr>
            <w:tcW w:w="100" w:type="dxa"/>
            <w:vAlign w:val="bottom"/>
          </w:tcPr>
          <w:p>
            <w:pPr>
              <w:spacing w:after="0"/>
              <w:rPr>
                <w:sz w:val="12"/>
                <w:szCs w:val="12"/>
                <w:color w:val="auto"/>
              </w:rPr>
            </w:pPr>
          </w:p>
        </w:tc>
        <w:tc>
          <w:tcPr>
            <w:tcW w:w="900" w:type="dxa"/>
            <w:vAlign w:val="bottom"/>
            <w:tcBorders>
              <w:bottom w:val="single" w:sz="8" w:color="auto"/>
            </w:tcBorders>
          </w:tcPr>
          <w:p>
            <w:pPr>
              <w:jc w:val="right"/>
              <w:ind w:right="76"/>
              <w:spacing w:after="0" w:line="142" w:lineRule="exact"/>
              <w:rPr>
                <w:sz w:val="20"/>
                <w:szCs w:val="20"/>
                <w:color w:val="auto"/>
              </w:rPr>
            </w:pPr>
            <w:r>
              <w:rPr>
                <w:rFonts w:ascii="Times New Roman" w:cs="Times New Roman" w:eastAsia="Times New Roman" w:hAnsi="Times New Roman"/>
                <w:sz w:val="14"/>
                <w:szCs w:val="14"/>
                <w:b w:val="1"/>
                <w:bCs w:val="1"/>
                <w:color w:val="auto"/>
              </w:rPr>
              <w:t>Full Year</w:t>
            </w:r>
          </w:p>
        </w:tc>
        <w:tc>
          <w:tcPr>
            <w:tcW w:w="100" w:type="dxa"/>
            <w:vAlign w:val="bottom"/>
          </w:tcPr>
          <w:p>
            <w:pPr>
              <w:spacing w:after="0"/>
              <w:rPr>
                <w:sz w:val="12"/>
                <w:szCs w:val="12"/>
                <w:color w:val="auto"/>
              </w:rPr>
            </w:pPr>
          </w:p>
        </w:tc>
        <w:tc>
          <w:tcPr>
            <w:tcW w:w="900" w:type="dxa"/>
            <w:vAlign w:val="bottom"/>
            <w:tcBorders>
              <w:bottom w:val="single" w:sz="8" w:color="auto"/>
            </w:tcBorders>
          </w:tcPr>
          <w:p>
            <w:pPr>
              <w:jc w:val="right"/>
              <w:ind w:right="156"/>
              <w:spacing w:after="0" w:line="142" w:lineRule="exact"/>
              <w:rPr>
                <w:sz w:val="20"/>
                <w:szCs w:val="20"/>
                <w:color w:val="auto"/>
              </w:rPr>
            </w:pPr>
            <w:r>
              <w:rPr>
                <w:rFonts w:ascii="Times New Roman" w:cs="Times New Roman" w:eastAsia="Times New Roman" w:hAnsi="Times New Roman"/>
                <w:sz w:val="14"/>
                <w:szCs w:val="14"/>
                <w:b w:val="1"/>
                <w:bCs w:val="1"/>
                <w:color w:val="auto"/>
              </w:rPr>
              <w:t>1st Qtr</w:t>
            </w:r>
          </w:p>
        </w:tc>
        <w:tc>
          <w:tcPr>
            <w:tcW w:w="120" w:type="dxa"/>
            <w:vAlign w:val="bottom"/>
          </w:tcPr>
          <w:p>
            <w:pPr>
              <w:spacing w:after="0"/>
              <w:rPr>
                <w:sz w:val="12"/>
                <w:szCs w:val="12"/>
                <w:color w:val="auto"/>
              </w:rPr>
            </w:pPr>
          </w:p>
        </w:tc>
        <w:tc>
          <w:tcPr>
            <w:tcW w:w="1000" w:type="dxa"/>
            <w:vAlign w:val="bottom"/>
            <w:tcBorders>
              <w:bottom w:val="single" w:sz="8" w:color="auto"/>
            </w:tcBorders>
          </w:tcPr>
          <w:p>
            <w:pPr>
              <w:jc w:val="right"/>
              <w:ind w:right="176"/>
              <w:spacing w:after="0" w:line="142" w:lineRule="exact"/>
              <w:rPr>
                <w:sz w:val="20"/>
                <w:szCs w:val="20"/>
                <w:color w:val="auto"/>
              </w:rPr>
            </w:pPr>
            <w:r>
              <w:rPr>
                <w:rFonts w:ascii="Times New Roman" w:cs="Times New Roman" w:eastAsia="Times New Roman" w:hAnsi="Times New Roman"/>
                <w:sz w:val="14"/>
                <w:szCs w:val="14"/>
                <w:b w:val="1"/>
                <w:bCs w:val="1"/>
                <w:color w:val="auto"/>
              </w:rPr>
              <w:t>2nd Qtr</w:t>
            </w: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135"/>
              <w:spacing w:after="0" w:line="142" w:lineRule="exact"/>
              <w:rPr>
                <w:sz w:val="20"/>
                <w:szCs w:val="20"/>
                <w:color w:val="auto"/>
              </w:rPr>
            </w:pPr>
            <w:r>
              <w:rPr>
                <w:rFonts w:ascii="Times New Roman" w:cs="Times New Roman" w:eastAsia="Times New Roman" w:hAnsi="Times New Roman"/>
                <w:sz w:val="14"/>
                <w:szCs w:val="14"/>
                <w:b w:val="1"/>
                <w:bCs w:val="1"/>
                <w:color w:val="auto"/>
              </w:rPr>
              <w:t>3rd Qtr</w:t>
            </w:r>
          </w:p>
        </w:tc>
        <w:tc>
          <w:tcPr>
            <w:tcW w:w="100" w:type="dxa"/>
            <w:vAlign w:val="bottom"/>
          </w:tcPr>
          <w:p>
            <w:pPr>
              <w:spacing w:after="0"/>
              <w:rPr>
                <w:sz w:val="12"/>
                <w:szCs w:val="12"/>
                <w:color w:val="auto"/>
              </w:rPr>
            </w:pPr>
          </w:p>
        </w:tc>
        <w:tc>
          <w:tcPr>
            <w:tcW w:w="920" w:type="dxa"/>
            <w:vAlign w:val="bottom"/>
            <w:tcBorders>
              <w:bottom w:val="single" w:sz="8" w:color="auto"/>
            </w:tcBorders>
          </w:tcPr>
          <w:p>
            <w:pPr>
              <w:jc w:val="right"/>
              <w:ind w:right="236"/>
              <w:spacing w:after="0" w:line="142" w:lineRule="exact"/>
              <w:rPr>
                <w:sz w:val="20"/>
                <w:szCs w:val="20"/>
                <w:color w:val="auto"/>
              </w:rPr>
            </w:pPr>
            <w:r>
              <w:rPr>
                <w:rFonts w:ascii="Times New Roman" w:cs="Times New Roman" w:eastAsia="Times New Roman" w:hAnsi="Times New Roman"/>
                <w:sz w:val="14"/>
                <w:szCs w:val="14"/>
                <w:b w:val="1"/>
                <w:bCs w:val="1"/>
                <w:color w:val="auto"/>
              </w:rPr>
              <w:t>YTD</w:t>
            </w:r>
          </w:p>
        </w:tc>
        <w:tc>
          <w:tcPr>
            <w:tcW w:w="0" w:type="dxa"/>
            <w:vAlign w:val="bottom"/>
          </w:tcPr>
          <w:p>
            <w:pPr>
              <w:spacing w:after="0"/>
              <w:rPr>
                <w:sz w:val="1"/>
                <w:szCs w:val="1"/>
                <w:color w:val="auto"/>
              </w:rPr>
            </w:pPr>
          </w:p>
        </w:tc>
      </w:tr>
      <w:tr>
        <w:trPr>
          <w:trHeight w:val="210"/>
        </w:trPr>
        <w:tc>
          <w:tcPr>
            <w:tcW w:w="22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8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98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0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0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10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$1,055</w:t>
            </w:r>
          </w:p>
        </w:tc>
        <w:tc>
          <w:tcPr>
            <w:tcW w:w="10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$785</w:t>
            </w:r>
          </w:p>
        </w:tc>
        <w:tc>
          <w:tcPr>
            <w:tcW w:w="112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7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$832</w:t>
            </w:r>
          </w:p>
        </w:tc>
        <w:tc>
          <w:tcPr>
            <w:tcW w:w="102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$2,131</w:t>
            </w:r>
          </w:p>
        </w:tc>
        <w:tc>
          <w:tcPr>
            <w:tcW w:w="0" w:type="dxa"/>
            <w:vAlign w:val="bottom"/>
          </w:tcPr>
          <w:p>
            <w:pPr>
              <w:spacing w:after="0"/>
              <w:rPr>
                <w:sz w:val="1"/>
                <w:szCs w:val="1"/>
                <w:color w:val="auto"/>
              </w:rPr>
            </w:pPr>
          </w:p>
        </w:tc>
      </w:tr>
      <w:tr>
        <w:trPr>
          <w:trHeight w:val="198"/>
        </w:trPr>
        <w:tc>
          <w:tcPr>
            <w:tcW w:w="22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Foreign currency gains</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vMerge w:val="restart"/>
          </w:tcPr>
          <w:p>
            <w:pPr>
              <w:spacing w:after="0"/>
              <w:rPr>
                <w:sz w:val="17"/>
                <w:szCs w:val="17"/>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vMerge w:val="restart"/>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00" w:type="dxa"/>
            <w:vAlign w:val="bottom"/>
            <w:vMerge w:val="restart"/>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1,283</w:t>
            </w:r>
          </w:p>
        </w:tc>
        <w:tc>
          <w:tcPr>
            <w:tcW w:w="100" w:type="dxa"/>
            <w:vAlign w:val="bottom"/>
            <w:vMerge w:val="restart"/>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1,772</w:t>
            </w:r>
          </w:p>
        </w:tc>
        <w:tc>
          <w:tcPr>
            <w:tcW w:w="100" w:type="dxa"/>
            <w:vAlign w:val="bottom"/>
            <w:vMerge w:val="restart"/>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vMerge w:val="restart"/>
          </w:tcPr>
          <w:p>
            <w:pPr>
              <w:spacing w:after="0"/>
              <w:rPr>
                <w:sz w:val="17"/>
                <w:szCs w:val="17"/>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1,978</w:t>
            </w:r>
          </w:p>
        </w:tc>
        <w:tc>
          <w:tcPr>
            <w:tcW w:w="100" w:type="dxa"/>
            <w:vAlign w:val="bottom"/>
            <w:vMerge w:val="restart"/>
          </w:tcPr>
          <w:p>
            <w:pPr>
              <w:spacing w:after="0"/>
              <w:rPr>
                <w:sz w:val="17"/>
                <w:szCs w:val="17"/>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2,133</w:t>
            </w:r>
          </w:p>
        </w:tc>
        <w:tc>
          <w:tcPr>
            <w:tcW w:w="0" w:type="dxa"/>
            <w:vAlign w:val="bottom"/>
          </w:tcPr>
          <w:p>
            <w:pPr>
              <w:spacing w:after="0"/>
              <w:rPr>
                <w:sz w:val="1"/>
                <w:szCs w:val="1"/>
                <w:color w:val="auto"/>
              </w:rPr>
            </w:pPr>
          </w:p>
        </w:tc>
      </w:tr>
      <w:tr>
        <w:trPr>
          <w:trHeight w:val="221"/>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(losses) in other income</w:t>
            </w:r>
          </w:p>
        </w:tc>
        <w:tc>
          <w:tcPr>
            <w:tcW w:w="880" w:type="dxa"/>
            <w:vAlign w:val="bottom"/>
            <w:tcBorders>
              <w:bottom w:val="single" w:sz="8" w:color="auto"/>
            </w:tcBorders>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2240" w:type="dxa"/>
            <w:vAlign w:val="bottom"/>
            <w:shd w:val="clear" w:color="auto" w:fill="CCFFCC"/>
          </w:tcPr>
          <w:p>
            <w:pPr>
              <w:ind w:left="40"/>
              <w:spacing w:after="0" w:line="191" w:lineRule="exact"/>
              <w:rPr>
                <w:sz w:val="20"/>
                <w:szCs w:val="20"/>
                <w:color w:val="auto"/>
              </w:rPr>
            </w:pPr>
            <w:r>
              <w:rPr>
                <w:rFonts w:ascii="Times New Roman" w:cs="Times New Roman" w:eastAsia="Times New Roman" w:hAnsi="Times New Roman"/>
                <w:sz w:val="18"/>
                <w:szCs w:val="18"/>
                <w:color w:val="auto"/>
              </w:rPr>
              <w:t>Total impact of changes in</w:t>
            </w:r>
          </w:p>
        </w:tc>
        <w:tc>
          <w:tcPr>
            <w:tcW w:w="880" w:type="dxa"/>
            <w:vAlign w:val="bottom"/>
            <w:vMerge w:val="restart"/>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$349</w:t>
            </w:r>
          </w:p>
        </w:tc>
        <w:tc>
          <w:tcPr>
            <w:tcW w:w="100" w:type="dxa"/>
            <w:vAlign w:val="bottom"/>
            <w:vMerge w:val="restart"/>
            <w:shd w:val="clear" w:color="auto" w:fill="CCFFCC"/>
          </w:tcPr>
          <w:p>
            <w:pPr>
              <w:spacing w:after="0"/>
              <w:rPr>
                <w:sz w:val="16"/>
                <w:szCs w:val="16"/>
                <w:color w:val="auto"/>
              </w:rPr>
            </w:pPr>
          </w:p>
        </w:tc>
        <w:tc>
          <w:tcPr>
            <w:tcW w:w="880" w:type="dxa"/>
            <w:vAlign w:val="bottom"/>
            <w:vMerge w:val="restart"/>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$348</w:t>
            </w:r>
          </w:p>
        </w:tc>
        <w:tc>
          <w:tcPr>
            <w:tcW w:w="100" w:type="dxa"/>
            <w:vAlign w:val="bottom"/>
            <w:vMerge w:val="restart"/>
            <w:shd w:val="clear" w:color="auto" w:fill="CCFFCC"/>
          </w:tcPr>
          <w:p>
            <w:pPr>
              <w:spacing w:after="0"/>
              <w:rPr>
                <w:sz w:val="16"/>
                <w:szCs w:val="16"/>
                <w:color w:val="auto"/>
              </w:rPr>
            </w:pPr>
          </w:p>
        </w:tc>
        <w:tc>
          <w:tcPr>
            <w:tcW w:w="900" w:type="dxa"/>
            <w:vAlign w:val="bottom"/>
            <w:vMerge w:val="restart"/>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$545</w:t>
            </w:r>
          </w:p>
        </w:tc>
        <w:tc>
          <w:tcPr>
            <w:tcW w:w="100" w:type="dxa"/>
            <w:vAlign w:val="bottom"/>
            <w:vMerge w:val="restart"/>
            <w:shd w:val="clear" w:color="auto" w:fill="CCFFCC"/>
          </w:tcPr>
          <w:p>
            <w:pPr>
              <w:spacing w:after="0"/>
              <w:rPr>
                <w:sz w:val="16"/>
                <w:szCs w:val="16"/>
                <w:color w:val="auto"/>
              </w:rPr>
            </w:pPr>
          </w:p>
        </w:tc>
        <w:tc>
          <w:tcPr>
            <w:tcW w:w="900" w:type="dxa"/>
            <w:vAlign w:val="bottom"/>
            <w:vMerge w:val="restart"/>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$1,585</w:t>
            </w:r>
          </w:p>
        </w:tc>
        <w:tc>
          <w:tcPr>
            <w:tcW w:w="100" w:type="dxa"/>
            <w:vAlign w:val="bottom"/>
            <w:vMerge w:val="restart"/>
            <w:shd w:val="clear" w:color="auto" w:fill="CCFFCC"/>
          </w:tcPr>
          <w:p>
            <w:pPr>
              <w:spacing w:after="0"/>
              <w:rPr>
                <w:sz w:val="16"/>
                <w:szCs w:val="16"/>
                <w:color w:val="auto"/>
              </w:rPr>
            </w:pPr>
          </w:p>
        </w:tc>
        <w:tc>
          <w:tcPr>
            <w:tcW w:w="900" w:type="dxa"/>
            <w:vAlign w:val="bottom"/>
            <w:vMerge w:val="restart"/>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$2,827</w:t>
            </w:r>
          </w:p>
        </w:tc>
        <w:tc>
          <w:tcPr>
            <w:tcW w:w="100" w:type="dxa"/>
            <w:vAlign w:val="bottom"/>
            <w:vMerge w:val="restart"/>
            <w:shd w:val="clear" w:color="auto" w:fill="CCFFCC"/>
          </w:tcPr>
          <w:p>
            <w:pPr>
              <w:spacing w:after="0"/>
              <w:rPr>
                <w:sz w:val="16"/>
                <w:szCs w:val="16"/>
                <w:color w:val="auto"/>
              </w:rPr>
            </w:pPr>
          </w:p>
        </w:tc>
        <w:tc>
          <w:tcPr>
            <w:tcW w:w="900" w:type="dxa"/>
            <w:vAlign w:val="bottom"/>
            <w:vMerge w:val="restart"/>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$800</w:t>
            </w:r>
          </w:p>
        </w:tc>
        <w:tc>
          <w:tcPr>
            <w:tcW w:w="120" w:type="dxa"/>
            <w:vAlign w:val="bottom"/>
            <w:vMerge w:val="restart"/>
            <w:shd w:val="clear" w:color="auto" w:fill="CCFFCC"/>
          </w:tcPr>
          <w:p>
            <w:pPr>
              <w:spacing w:after="0"/>
              <w:rPr>
                <w:sz w:val="16"/>
                <w:szCs w:val="16"/>
                <w:color w:val="auto"/>
              </w:rPr>
            </w:pPr>
          </w:p>
        </w:tc>
        <w:tc>
          <w:tcPr>
            <w:tcW w:w="1000" w:type="dxa"/>
            <w:vAlign w:val="bottom"/>
            <w:vMerge w:val="restart"/>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$654</w:t>
            </w:r>
          </w:p>
        </w:tc>
        <w:tc>
          <w:tcPr>
            <w:tcW w:w="100" w:type="dxa"/>
            <w:vAlign w:val="bottom"/>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c>
          <w:tcPr>
            <w:tcW w:w="780" w:type="dxa"/>
            <w:vAlign w:val="bottom"/>
            <w:vMerge w:val="restart"/>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$2,810</w:t>
            </w:r>
          </w:p>
        </w:tc>
        <w:tc>
          <w:tcPr>
            <w:tcW w:w="100" w:type="dxa"/>
            <w:vAlign w:val="bottom"/>
            <w:vMerge w:val="restart"/>
            <w:shd w:val="clear" w:color="auto" w:fill="CCFFCC"/>
          </w:tcPr>
          <w:p>
            <w:pPr>
              <w:spacing w:after="0"/>
              <w:rPr>
                <w:sz w:val="16"/>
                <w:szCs w:val="16"/>
                <w:color w:val="auto"/>
              </w:rPr>
            </w:pPr>
          </w:p>
        </w:tc>
        <w:tc>
          <w:tcPr>
            <w:tcW w:w="920" w:type="dxa"/>
            <w:vAlign w:val="bottom"/>
            <w:vMerge w:val="restart"/>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$4,264</w:t>
            </w:r>
          </w:p>
        </w:tc>
        <w:tc>
          <w:tcPr>
            <w:tcW w:w="0" w:type="dxa"/>
            <w:vAlign w:val="bottom"/>
          </w:tcPr>
          <w:p>
            <w:pPr>
              <w:spacing w:after="0"/>
              <w:rPr>
                <w:sz w:val="1"/>
                <w:szCs w:val="1"/>
                <w:color w:val="auto"/>
              </w:rPr>
            </w:pPr>
          </w:p>
        </w:tc>
      </w:tr>
      <w:tr>
        <w:trPr>
          <w:trHeight w:val="234"/>
        </w:trPr>
        <w:tc>
          <w:tcPr>
            <w:tcW w:w="2240" w:type="dxa"/>
            <w:vAlign w:val="bottom"/>
            <w:tcBorders>
              <w:bottom w:val="single" w:sz="8" w:color="CCFFCC"/>
            </w:tcBorders>
            <w:shd w:val="clear" w:color="auto" w:fill="CCFFCC"/>
          </w:tcPr>
          <w:p>
            <w:pPr>
              <w:ind w:left="40"/>
              <w:spacing w:after="0" w:line="194" w:lineRule="exact"/>
              <w:rPr>
                <w:sz w:val="20"/>
                <w:szCs w:val="20"/>
                <w:color w:val="auto"/>
              </w:rPr>
            </w:pPr>
            <w:r>
              <w:rPr>
                <w:rFonts w:ascii="Times New Roman" w:cs="Times New Roman" w:eastAsia="Times New Roman" w:hAnsi="Times New Roman"/>
                <w:sz w:val="18"/>
                <w:szCs w:val="18"/>
                <w:color w:val="auto"/>
              </w:rPr>
              <w:t>the Indian Rupee</w:t>
            </w:r>
          </w:p>
        </w:tc>
        <w:tc>
          <w:tcPr>
            <w:tcW w:w="880" w:type="dxa"/>
            <w:vAlign w:val="bottom"/>
            <w:tcBorders>
              <w:bottom w:val="single" w:sz="8" w:color="auto"/>
            </w:tcBorders>
            <w:vMerge w:val="continue"/>
            <w:shd w:val="clear" w:color="auto" w:fill="CCFFCC"/>
          </w:tcPr>
          <w:p>
            <w:pPr>
              <w:spacing w:after="0"/>
              <w:rPr>
                <w:sz w:val="20"/>
                <w:szCs w:val="20"/>
                <w:color w:val="auto"/>
              </w:rPr>
            </w:pPr>
          </w:p>
        </w:tc>
        <w:tc>
          <w:tcPr>
            <w:tcW w:w="100" w:type="dxa"/>
            <w:vAlign w:val="bottom"/>
            <w:tcBorders>
              <w:bottom w:val="single" w:sz="8" w:color="CCFFCC"/>
            </w:tcBorders>
            <w:vMerge w:val="continue"/>
            <w:shd w:val="clear" w:color="auto" w:fill="CCFFCC"/>
          </w:tcPr>
          <w:p>
            <w:pPr>
              <w:spacing w:after="0"/>
              <w:rPr>
                <w:sz w:val="20"/>
                <w:szCs w:val="20"/>
                <w:color w:val="auto"/>
              </w:rPr>
            </w:pPr>
          </w:p>
        </w:tc>
        <w:tc>
          <w:tcPr>
            <w:tcW w:w="880" w:type="dxa"/>
            <w:vAlign w:val="bottom"/>
            <w:tcBorders>
              <w:bottom w:val="single" w:sz="8" w:color="auto"/>
            </w:tcBorders>
            <w:vMerge w:val="continue"/>
            <w:shd w:val="clear" w:color="auto" w:fill="CCFFCC"/>
          </w:tcPr>
          <w:p>
            <w:pPr>
              <w:spacing w:after="0"/>
              <w:rPr>
                <w:sz w:val="20"/>
                <w:szCs w:val="20"/>
                <w:color w:val="auto"/>
              </w:rPr>
            </w:pPr>
          </w:p>
        </w:tc>
        <w:tc>
          <w:tcPr>
            <w:tcW w:w="100" w:type="dxa"/>
            <w:vAlign w:val="bottom"/>
            <w:tcBorders>
              <w:bottom w:val="single" w:sz="8" w:color="CCFFCC"/>
            </w:tcBorders>
            <w:vMerge w:val="continue"/>
            <w:shd w:val="clear" w:color="auto" w:fill="CCFFCC"/>
          </w:tcPr>
          <w:p>
            <w:pPr>
              <w:spacing w:after="0"/>
              <w:rPr>
                <w:sz w:val="20"/>
                <w:szCs w:val="20"/>
                <w:color w:val="auto"/>
              </w:rPr>
            </w:pPr>
          </w:p>
        </w:tc>
        <w:tc>
          <w:tcPr>
            <w:tcW w:w="900" w:type="dxa"/>
            <w:vAlign w:val="bottom"/>
            <w:tcBorders>
              <w:bottom w:val="single" w:sz="8" w:color="auto"/>
            </w:tcBorders>
            <w:vMerge w:val="continue"/>
            <w:shd w:val="clear" w:color="auto" w:fill="CCFFCC"/>
          </w:tcPr>
          <w:p>
            <w:pPr>
              <w:spacing w:after="0"/>
              <w:rPr>
                <w:sz w:val="20"/>
                <w:szCs w:val="20"/>
                <w:color w:val="auto"/>
              </w:rPr>
            </w:pPr>
          </w:p>
        </w:tc>
        <w:tc>
          <w:tcPr>
            <w:tcW w:w="100" w:type="dxa"/>
            <w:vAlign w:val="bottom"/>
            <w:tcBorders>
              <w:bottom w:val="single" w:sz="8" w:color="CCFFCC"/>
            </w:tcBorders>
            <w:vMerge w:val="continue"/>
            <w:shd w:val="clear" w:color="auto" w:fill="CCFFCC"/>
          </w:tcPr>
          <w:p>
            <w:pPr>
              <w:spacing w:after="0"/>
              <w:rPr>
                <w:sz w:val="20"/>
                <w:szCs w:val="20"/>
                <w:color w:val="auto"/>
              </w:rPr>
            </w:pPr>
          </w:p>
        </w:tc>
        <w:tc>
          <w:tcPr>
            <w:tcW w:w="900" w:type="dxa"/>
            <w:vAlign w:val="bottom"/>
            <w:tcBorders>
              <w:bottom w:val="single" w:sz="8" w:color="auto"/>
            </w:tcBorders>
            <w:vMerge w:val="continue"/>
            <w:shd w:val="clear" w:color="auto" w:fill="CCFFCC"/>
          </w:tcPr>
          <w:p>
            <w:pPr>
              <w:spacing w:after="0"/>
              <w:rPr>
                <w:sz w:val="20"/>
                <w:szCs w:val="20"/>
                <w:color w:val="auto"/>
              </w:rPr>
            </w:pPr>
          </w:p>
        </w:tc>
        <w:tc>
          <w:tcPr>
            <w:tcW w:w="100" w:type="dxa"/>
            <w:vAlign w:val="bottom"/>
            <w:tcBorders>
              <w:bottom w:val="single" w:sz="8" w:color="CCFFCC"/>
            </w:tcBorders>
            <w:vMerge w:val="continue"/>
            <w:shd w:val="clear" w:color="auto" w:fill="CCFFCC"/>
          </w:tcPr>
          <w:p>
            <w:pPr>
              <w:spacing w:after="0"/>
              <w:rPr>
                <w:sz w:val="20"/>
                <w:szCs w:val="20"/>
                <w:color w:val="auto"/>
              </w:rPr>
            </w:pPr>
          </w:p>
        </w:tc>
        <w:tc>
          <w:tcPr>
            <w:tcW w:w="900" w:type="dxa"/>
            <w:vAlign w:val="bottom"/>
            <w:tcBorders>
              <w:bottom w:val="single" w:sz="8" w:color="auto"/>
            </w:tcBorders>
            <w:vMerge w:val="continue"/>
            <w:shd w:val="clear" w:color="auto" w:fill="CCFFCC"/>
          </w:tcPr>
          <w:p>
            <w:pPr>
              <w:spacing w:after="0"/>
              <w:rPr>
                <w:sz w:val="20"/>
                <w:szCs w:val="20"/>
                <w:color w:val="auto"/>
              </w:rPr>
            </w:pPr>
          </w:p>
        </w:tc>
        <w:tc>
          <w:tcPr>
            <w:tcW w:w="100" w:type="dxa"/>
            <w:vAlign w:val="bottom"/>
            <w:tcBorders>
              <w:bottom w:val="single" w:sz="8" w:color="CCFFCC"/>
            </w:tcBorders>
            <w:vMerge w:val="continue"/>
            <w:shd w:val="clear" w:color="auto" w:fill="CCFFCC"/>
          </w:tcPr>
          <w:p>
            <w:pPr>
              <w:spacing w:after="0"/>
              <w:rPr>
                <w:sz w:val="20"/>
                <w:szCs w:val="20"/>
                <w:color w:val="auto"/>
              </w:rPr>
            </w:pPr>
          </w:p>
        </w:tc>
        <w:tc>
          <w:tcPr>
            <w:tcW w:w="900" w:type="dxa"/>
            <w:vAlign w:val="bottom"/>
            <w:tcBorders>
              <w:bottom w:val="single" w:sz="8" w:color="auto"/>
            </w:tcBorders>
            <w:vMerge w:val="continue"/>
            <w:shd w:val="clear" w:color="auto" w:fill="CCFFCC"/>
          </w:tcPr>
          <w:p>
            <w:pPr>
              <w:spacing w:after="0"/>
              <w:rPr>
                <w:sz w:val="20"/>
                <w:szCs w:val="20"/>
                <w:color w:val="auto"/>
              </w:rPr>
            </w:pPr>
          </w:p>
        </w:tc>
        <w:tc>
          <w:tcPr>
            <w:tcW w:w="120" w:type="dxa"/>
            <w:vAlign w:val="bottom"/>
            <w:tcBorders>
              <w:bottom w:val="single" w:sz="8" w:color="CCFFCC"/>
            </w:tcBorders>
            <w:vMerge w:val="continue"/>
            <w:shd w:val="clear" w:color="auto" w:fill="CCFFCC"/>
          </w:tcPr>
          <w:p>
            <w:pPr>
              <w:spacing w:after="0"/>
              <w:rPr>
                <w:sz w:val="20"/>
                <w:szCs w:val="20"/>
                <w:color w:val="auto"/>
              </w:rPr>
            </w:pPr>
          </w:p>
        </w:tc>
        <w:tc>
          <w:tcPr>
            <w:tcW w:w="1000" w:type="dxa"/>
            <w:vAlign w:val="bottom"/>
            <w:tcBorders>
              <w:bottom w:val="single" w:sz="8" w:color="auto"/>
            </w:tcBorders>
            <w:vMerge w:val="continue"/>
            <w:shd w:val="clear" w:color="auto" w:fill="CCFFCC"/>
          </w:tcPr>
          <w:p>
            <w:pPr>
              <w:spacing w:after="0"/>
              <w:rPr>
                <w:sz w:val="20"/>
                <w:szCs w:val="20"/>
                <w:color w:val="auto"/>
              </w:rPr>
            </w:pPr>
          </w:p>
        </w:tc>
        <w:tc>
          <w:tcPr>
            <w:tcW w:w="100" w:type="dxa"/>
            <w:vAlign w:val="bottom"/>
            <w:tcBorders>
              <w:bottom w:val="single" w:sz="8" w:color="CCFFCC"/>
            </w:tcBorders>
            <w:shd w:val="clear" w:color="auto" w:fill="CCFFCC"/>
          </w:tcPr>
          <w:p>
            <w:pPr>
              <w:spacing w:after="0"/>
              <w:rPr>
                <w:sz w:val="20"/>
                <w:szCs w:val="20"/>
                <w:color w:val="auto"/>
              </w:rPr>
            </w:pPr>
          </w:p>
        </w:tc>
        <w:tc>
          <w:tcPr>
            <w:tcW w:w="120" w:type="dxa"/>
            <w:vAlign w:val="bottom"/>
            <w:tcBorders>
              <w:bottom w:val="single" w:sz="8" w:color="auto"/>
            </w:tcBorders>
            <w:shd w:val="clear" w:color="auto" w:fill="CCFFCC"/>
          </w:tcPr>
          <w:p>
            <w:pPr>
              <w:spacing w:after="0"/>
              <w:rPr>
                <w:sz w:val="20"/>
                <w:szCs w:val="20"/>
                <w:color w:val="auto"/>
              </w:rPr>
            </w:pPr>
          </w:p>
        </w:tc>
        <w:tc>
          <w:tcPr>
            <w:tcW w:w="780" w:type="dxa"/>
            <w:vAlign w:val="bottom"/>
            <w:tcBorders>
              <w:bottom w:val="single" w:sz="8" w:color="auto"/>
            </w:tcBorders>
            <w:vMerge w:val="continue"/>
            <w:shd w:val="clear" w:color="auto" w:fill="CCFFCC"/>
          </w:tcPr>
          <w:p>
            <w:pPr>
              <w:spacing w:after="0"/>
              <w:rPr>
                <w:sz w:val="20"/>
                <w:szCs w:val="20"/>
                <w:color w:val="auto"/>
              </w:rPr>
            </w:pPr>
          </w:p>
        </w:tc>
        <w:tc>
          <w:tcPr>
            <w:tcW w:w="100" w:type="dxa"/>
            <w:vAlign w:val="bottom"/>
            <w:tcBorders>
              <w:bottom w:val="single" w:sz="8" w:color="CCFFCC"/>
            </w:tcBorders>
            <w:vMerge w:val="continue"/>
            <w:shd w:val="clear" w:color="auto" w:fill="CCFFCC"/>
          </w:tcPr>
          <w:p>
            <w:pPr>
              <w:spacing w:after="0"/>
              <w:rPr>
                <w:sz w:val="20"/>
                <w:szCs w:val="20"/>
                <w:color w:val="auto"/>
              </w:rPr>
            </w:pPr>
          </w:p>
        </w:tc>
        <w:tc>
          <w:tcPr>
            <w:tcW w:w="920" w:type="dxa"/>
            <w:vAlign w:val="bottom"/>
            <w:tcBorders>
              <w:bottom w:val="single" w:sz="8" w:color="auto"/>
            </w:tcBorders>
            <w:vMerge w:val="continue"/>
            <w:shd w:val="clear" w:color="auto" w:fill="CCFFC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1976755</wp:posOffset>
            </wp:positionH>
            <wp:positionV relativeFrom="paragraph">
              <wp:posOffset>-25400</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-8255</wp:posOffset>
            </wp:positionV>
            <wp:extent cx="6858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2602230</wp:posOffset>
            </wp:positionH>
            <wp:positionV relativeFrom="paragraph">
              <wp:posOffset>-25400</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2602230</wp:posOffset>
            </wp:positionH>
            <wp:positionV relativeFrom="paragraph">
              <wp:posOffset>-8255</wp:posOffset>
            </wp:positionV>
            <wp:extent cx="6858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3236595</wp:posOffset>
            </wp:positionH>
            <wp:positionV relativeFrom="paragraph">
              <wp:posOffset>-25400</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3236595</wp:posOffset>
            </wp:positionH>
            <wp:positionV relativeFrom="paragraph">
              <wp:posOffset>-8255</wp:posOffset>
            </wp:positionV>
            <wp:extent cx="6858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-25400</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-8255</wp:posOffset>
            </wp:positionV>
            <wp:extent cx="6858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-25400</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-8255</wp:posOffset>
            </wp:positionV>
            <wp:extent cx="6858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-25400</wp:posOffset>
            </wp:positionV>
            <wp:extent cx="7683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-8255</wp:posOffset>
            </wp:positionV>
            <wp:extent cx="76835"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-25400</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-8255</wp:posOffset>
            </wp:positionV>
            <wp:extent cx="6858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-25400</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-8255</wp:posOffset>
            </wp:positionV>
            <wp:extent cx="6858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82" w:lineRule="exact"/>
        <w:rPr>
          <w:sz w:val="20"/>
          <w:szCs w:val="20"/>
          <w:color w:val="auto"/>
        </w:rPr>
      </w:pPr>
    </w:p>
    <w:p>
      <w:pPr>
        <w:ind w:left="360" w:hanging="352"/>
        <w:spacing w:after="0"/>
        <w:tabs>
          <w:tab w:leader="none" w:pos="36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income includes the following components (in thousands):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24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2"/>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2025</w:t>
            </w:r>
          </w:p>
        </w:tc>
        <w:tc>
          <w:tcPr>
            <w:tcW w:w="7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240" w:type="dxa"/>
            <w:vAlign w:val="bottom"/>
          </w:tcPr>
          <w:p>
            <w:pPr>
              <w:spacing w:after="0"/>
              <w:rPr>
                <w:sz w:val="12"/>
                <w:szCs w:val="12"/>
                <w:color w:val="auto"/>
              </w:rPr>
            </w:pPr>
          </w:p>
        </w:tc>
        <w:tc>
          <w:tcPr>
            <w:tcW w:w="880" w:type="dxa"/>
            <w:vAlign w:val="bottom"/>
            <w:tcBorders>
              <w:bottom w:val="single" w:sz="8" w:color="auto"/>
            </w:tcBorders>
          </w:tcPr>
          <w:p>
            <w:pPr>
              <w:jc w:val="right"/>
              <w:ind w:right="154"/>
              <w:spacing w:after="0" w:line="142" w:lineRule="exact"/>
              <w:rPr>
                <w:sz w:val="20"/>
                <w:szCs w:val="20"/>
                <w:color w:val="auto"/>
              </w:rPr>
            </w:pPr>
            <w:r>
              <w:rPr>
                <w:rFonts w:ascii="Times New Roman" w:cs="Times New Roman" w:eastAsia="Times New Roman" w:hAnsi="Times New Roman"/>
                <w:sz w:val="14"/>
                <w:szCs w:val="14"/>
                <w:b w:val="1"/>
                <w:bCs w:val="1"/>
                <w:color w:val="auto"/>
              </w:rPr>
              <w:t>1st Qtr</w:t>
            </w:r>
          </w:p>
        </w:tc>
        <w:tc>
          <w:tcPr>
            <w:tcW w:w="100" w:type="dxa"/>
            <w:vAlign w:val="bottom"/>
          </w:tcPr>
          <w:p>
            <w:pPr>
              <w:spacing w:after="0"/>
              <w:rPr>
                <w:sz w:val="12"/>
                <w:szCs w:val="12"/>
                <w:color w:val="auto"/>
              </w:rPr>
            </w:pPr>
          </w:p>
        </w:tc>
        <w:tc>
          <w:tcPr>
            <w:tcW w:w="880" w:type="dxa"/>
            <w:vAlign w:val="bottom"/>
            <w:tcBorders>
              <w:bottom w:val="single" w:sz="8" w:color="auto"/>
            </w:tcBorders>
          </w:tcPr>
          <w:p>
            <w:pPr>
              <w:jc w:val="right"/>
              <w:ind w:right="119"/>
              <w:spacing w:after="0" w:line="142" w:lineRule="exact"/>
              <w:rPr>
                <w:sz w:val="20"/>
                <w:szCs w:val="20"/>
                <w:color w:val="auto"/>
              </w:rPr>
            </w:pPr>
            <w:r>
              <w:rPr>
                <w:rFonts w:ascii="Times New Roman" w:cs="Times New Roman" w:eastAsia="Times New Roman" w:hAnsi="Times New Roman"/>
                <w:sz w:val="14"/>
                <w:szCs w:val="14"/>
                <w:b w:val="1"/>
                <w:bCs w:val="1"/>
                <w:color w:val="auto"/>
              </w:rPr>
              <w:t>2nd Qtr</w:t>
            </w:r>
          </w:p>
        </w:tc>
        <w:tc>
          <w:tcPr>
            <w:tcW w:w="100" w:type="dxa"/>
            <w:vAlign w:val="bottom"/>
          </w:tcPr>
          <w:p>
            <w:pPr>
              <w:spacing w:after="0"/>
              <w:rPr>
                <w:sz w:val="12"/>
                <w:szCs w:val="12"/>
                <w:color w:val="auto"/>
              </w:rPr>
            </w:pPr>
          </w:p>
        </w:tc>
        <w:tc>
          <w:tcPr>
            <w:tcW w:w="900" w:type="dxa"/>
            <w:vAlign w:val="bottom"/>
            <w:tcBorders>
              <w:bottom w:val="single" w:sz="8" w:color="auto"/>
            </w:tcBorders>
          </w:tcPr>
          <w:p>
            <w:pPr>
              <w:jc w:val="right"/>
              <w:ind w:right="139"/>
              <w:spacing w:after="0" w:line="142" w:lineRule="exact"/>
              <w:rPr>
                <w:sz w:val="20"/>
                <w:szCs w:val="20"/>
                <w:color w:val="auto"/>
              </w:rPr>
            </w:pPr>
            <w:r>
              <w:rPr>
                <w:rFonts w:ascii="Times New Roman" w:cs="Times New Roman" w:eastAsia="Times New Roman" w:hAnsi="Times New Roman"/>
                <w:sz w:val="14"/>
                <w:szCs w:val="14"/>
                <w:b w:val="1"/>
                <w:bCs w:val="1"/>
                <w:color w:val="auto"/>
              </w:rPr>
              <w:t>3rd Qtr</w:t>
            </w:r>
          </w:p>
        </w:tc>
        <w:tc>
          <w:tcPr>
            <w:tcW w:w="100" w:type="dxa"/>
            <w:vAlign w:val="bottom"/>
          </w:tcPr>
          <w:p>
            <w:pPr>
              <w:spacing w:after="0"/>
              <w:rPr>
                <w:sz w:val="12"/>
                <w:szCs w:val="12"/>
                <w:color w:val="auto"/>
              </w:rPr>
            </w:pPr>
          </w:p>
        </w:tc>
        <w:tc>
          <w:tcPr>
            <w:tcW w:w="900" w:type="dxa"/>
            <w:vAlign w:val="bottom"/>
            <w:tcBorders>
              <w:bottom w:val="single" w:sz="8" w:color="auto"/>
            </w:tcBorders>
          </w:tcPr>
          <w:p>
            <w:pPr>
              <w:jc w:val="right"/>
              <w:ind w:right="139"/>
              <w:spacing w:after="0" w:line="142" w:lineRule="exact"/>
              <w:rPr>
                <w:sz w:val="20"/>
                <w:szCs w:val="20"/>
                <w:color w:val="auto"/>
              </w:rPr>
            </w:pPr>
            <w:r>
              <w:rPr>
                <w:rFonts w:ascii="Times New Roman" w:cs="Times New Roman" w:eastAsia="Times New Roman" w:hAnsi="Times New Roman"/>
                <w:sz w:val="14"/>
                <w:szCs w:val="14"/>
                <w:b w:val="1"/>
                <w:bCs w:val="1"/>
                <w:color w:val="auto"/>
              </w:rPr>
              <w:t>4th Qtr</w:t>
            </w:r>
          </w:p>
        </w:tc>
        <w:tc>
          <w:tcPr>
            <w:tcW w:w="100" w:type="dxa"/>
            <w:vAlign w:val="bottom"/>
          </w:tcPr>
          <w:p>
            <w:pPr>
              <w:spacing w:after="0"/>
              <w:rPr>
                <w:sz w:val="12"/>
                <w:szCs w:val="12"/>
                <w:color w:val="auto"/>
              </w:rPr>
            </w:pPr>
          </w:p>
        </w:tc>
        <w:tc>
          <w:tcPr>
            <w:tcW w:w="900" w:type="dxa"/>
            <w:vAlign w:val="bottom"/>
            <w:tcBorders>
              <w:bottom w:val="single" w:sz="8" w:color="auto"/>
            </w:tcBorders>
          </w:tcPr>
          <w:p>
            <w:pPr>
              <w:jc w:val="right"/>
              <w:ind w:right="79"/>
              <w:spacing w:after="0" w:line="142" w:lineRule="exact"/>
              <w:rPr>
                <w:sz w:val="20"/>
                <w:szCs w:val="20"/>
                <w:color w:val="auto"/>
              </w:rPr>
            </w:pPr>
            <w:r>
              <w:rPr>
                <w:rFonts w:ascii="Times New Roman" w:cs="Times New Roman" w:eastAsia="Times New Roman" w:hAnsi="Times New Roman"/>
                <w:sz w:val="14"/>
                <w:szCs w:val="14"/>
                <w:b w:val="1"/>
                <w:bCs w:val="1"/>
                <w:color w:val="auto"/>
              </w:rPr>
              <w:t>Full Year</w:t>
            </w:r>
          </w:p>
        </w:tc>
        <w:tc>
          <w:tcPr>
            <w:tcW w:w="100" w:type="dxa"/>
            <w:vAlign w:val="bottom"/>
          </w:tcPr>
          <w:p>
            <w:pPr>
              <w:spacing w:after="0"/>
              <w:rPr>
                <w:sz w:val="12"/>
                <w:szCs w:val="12"/>
                <w:color w:val="auto"/>
              </w:rPr>
            </w:pPr>
          </w:p>
        </w:tc>
        <w:tc>
          <w:tcPr>
            <w:tcW w:w="900" w:type="dxa"/>
            <w:vAlign w:val="bottom"/>
            <w:tcBorders>
              <w:bottom w:val="single" w:sz="8" w:color="auto"/>
            </w:tcBorders>
          </w:tcPr>
          <w:p>
            <w:pPr>
              <w:jc w:val="right"/>
              <w:ind w:right="159"/>
              <w:spacing w:after="0" w:line="142" w:lineRule="exact"/>
              <w:rPr>
                <w:sz w:val="20"/>
                <w:szCs w:val="20"/>
                <w:color w:val="auto"/>
              </w:rPr>
            </w:pPr>
            <w:r>
              <w:rPr>
                <w:rFonts w:ascii="Times New Roman" w:cs="Times New Roman" w:eastAsia="Times New Roman" w:hAnsi="Times New Roman"/>
                <w:sz w:val="14"/>
                <w:szCs w:val="14"/>
                <w:b w:val="1"/>
                <w:bCs w:val="1"/>
                <w:color w:val="auto"/>
              </w:rPr>
              <w:t>1st Qtr</w:t>
            </w:r>
          </w:p>
        </w:tc>
        <w:tc>
          <w:tcPr>
            <w:tcW w:w="120" w:type="dxa"/>
            <w:vAlign w:val="bottom"/>
          </w:tcPr>
          <w:p>
            <w:pPr>
              <w:spacing w:after="0"/>
              <w:rPr>
                <w:sz w:val="12"/>
                <w:szCs w:val="12"/>
                <w:color w:val="auto"/>
              </w:rPr>
            </w:pPr>
          </w:p>
        </w:tc>
        <w:tc>
          <w:tcPr>
            <w:tcW w:w="1000" w:type="dxa"/>
            <w:vAlign w:val="bottom"/>
            <w:tcBorders>
              <w:bottom w:val="single" w:sz="8" w:color="auto"/>
            </w:tcBorders>
          </w:tcPr>
          <w:p>
            <w:pPr>
              <w:jc w:val="right"/>
              <w:ind w:right="179"/>
              <w:spacing w:after="0" w:line="142" w:lineRule="exact"/>
              <w:rPr>
                <w:sz w:val="20"/>
                <w:szCs w:val="20"/>
                <w:color w:val="auto"/>
              </w:rPr>
            </w:pPr>
            <w:r>
              <w:rPr>
                <w:rFonts w:ascii="Times New Roman" w:cs="Times New Roman" w:eastAsia="Times New Roman" w:hAnsi="Times New Roman"/>
                <w:sz w:val="14"/>
                <w:szCs w:val="14"/>
                <w:b w:val="1"/>
                <w:bCs w:val="1"/>
                <w:color w:val="auto"/>
              </w:rPr>
              <w:t>2nd Qtr</w:t>
            </w: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134"/>
              <w:spacing w:after="0" w:line="142" w:lineRule="exact"/>
              <w:rPr>
                <w:sz w:val="20"/>
                <w:szCs w:val="20"/>
                <w:color w:val="auto"/>
              </w:rPr>
            </w:pPr>
            <w:r>
              <w:rPr>
                <w:rFonts w:ascii="Times New Roman" w:cs="Times New Roman" w:eastAsia="Times New Roman" w:hAnsi="Times New Roman"/>
                <w:sz w:val="14"/>
                <w:szCs w:val="14"/>
                <w:b w:val="1"/>
                <w:bCs w:val="1"/>
                <w:color w:val="auto"/>
              </w:rPr>
              <w:t>3rd Qtr</w:t>
            </w:r>
          </w:p>
        </w:tc>
        <w:tc>
          <w:tcPr>
            <w:tcW w:w="100" w:type="dxa"/>
            <w:vAlign w:val="bottom"/>
          </w:tcPr>
          <w:p>
            <w:pPr>
              <w:spacing w:after="0"/>
              <w:rPr>
                <w:sz w:val="12"/>
                <w:szCs w:val="12"/>
                <w:color w:val="auto"/>
              </w:rPr>
            </w:pPr>
          </w:p>
        </w:tc>
        <w:tc>
          <w:tcPr>
            <w:tcW w:w="920" w:type="dxa"/>
            <w:vAlign w:val="bottom"/>
            <w:tcBorders>
              <w:bottom w:val="single" w:sz="8" w:color="auto"/>
            </w:tcBorders>
          </w:tcPr>
          <w:p>
            <w:pPr>
              <w:jc w:val="right"/>
              <w:ind w:right="239"/>
              <w:spacing w:after="0" w:line="142" w:lineRule="exact"/>
              <w:rPr>
                <w:sz w:val="20"/>
                <w:szCs w:val="20"/>
                <w:color w:val="auto"/>
              </w:rPr>
            </w:pPr>
            <w:r>
              <w:rPr>
                <w:rFonts w:ascii="Times New Roman" w:cs="Times New Roman" w:eastAsia="Times New Roman" w:hAnsi="Times New Roman"/>
                <w:sz w:val="14"/>
                <w:szCs w:val="14"/>
                <w:b w:val="1"/>
                <w:bCs w:val="1"/>
                <w:color w:val="auto"/>
              </w:rPr>
              <w:t>YTD</w:t>
            </w:r>
          </w:p>
        </w:tc>
        <w:tc>
          <w:tcPr>
            <w:tcW w:w="0" w:type="dxa"/>
            <w:vAlign w:val="bottom"/>
          </w:tcPr>
          <w:p>
            <w:pPr>
              <w:spacing w:after="0"/>
              <w:rPr>
                <w:sz w:val="1"/>
                <w:szCs w:val="1"/>
                <w:color w:val="auto"/>
              </w:rPr>
            </w:pPr>
          </w:p>
        </w:tc>
      </w:tr>
      <w:tr>
        <w:trPr>
          <w:trHeight w:val="209"/>
        </w:trPr>
        <w:tc>
          <w:tcPr>
            <w:tcW w:w="22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8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$1,414</w:t>
            </w:r>
          </w:p>
        </w:tc>
        <w:tc>
          <w:tcPr>
            <w:tcW w:w="98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$1,503</w:t>
            </w:r>
          </w:p>
        </w:tc>
        <w:tc>
          <w:tcPr>
            <w:tcW w:w="10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$1,636</w:t>
            </w:r>
          </w:p>
        </w:tc>
        <w:tc>
          <w:tcPr>
            <w:tcW w:w="10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$1,476</w:t>
            </w:r>
          </w:p>
        </w:tc>
        <w:tc>
          <w:tcPr>
            <w:tcW w:w="10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$6,029</w:t>
            </w:r>
          </w:p>
        </w:tc>
        <w:tc>
          <w:tcPr>
            <w:tcW w:w="10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$1,101</w:t>
            </w:r>
          </w:p>
        </w:tc>
        <w:tc>
          <w:tcPr>
            <w:tcW w:w="112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7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$1,007</w:t>
            </w:r>
          </w:p>
        </w:tc>
        <w:tc>
          <w:tcPr>
            <w:tcW w:w="102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$2,960</w:t>
            </w:r>
          </w:p>
        </w:tc>
        <w:tc>
          <w:tcPr>
            <w:tcW w:w="0" w:type="dxa"/>
            <w:vAlign w:val="bottom"/>
          </w:tcPr>
          <w:p>
            <w:pPr>
              <w:spacing w:after="0"/>
              <w:rPr>
                <w:sz w:val="1"/>
                <w:szCs w:val="1"/>
                <w:color w:val="auto"/>
              </w:rPr>
            </w:pPr>
          </w:p>
        </w:tc>
      </w:tr>
      <w:tr>
        <w:trPr>
          <w:trHeight w:val="198"/>
        </w:trPr>
        <w:tc>
          <w:tcPr>
            <w:tcW w:w="22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Foreign currency gains</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(losses)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(953)</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1,597</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1,662</w:t>
            </w:r>
          </w:p>
        </w:tc>
        <w:tc>
          <w:tcPr>
            <w:tcW w:w="0" w:type="dxa"/>
            <w:vAlign w:val="bottom"/>
          </w:tcPr>
          <w:p>
            <w:pPr>
              <w:spacing w:after="0"/>
              <w:rPr>
                <w:sz w:val="1"/>
                <w:szCs w:val="1"/>
                <w:color w:val="auto"/>
              </w:rPr>
            </w:pPr>
          </w:p>
        </w:tc>
      </w:tr>
      <w:tr>
        <w:trPr>
          <w:trHeight w:val="198"/>
        </w:trPr>
        <w:tc>
          <w:tcPr>
            <w:tcW w:w="2240" w:type="dxa"/>
            <w:vAlign w:val="bottom"/>
            <w:shd w:val="clear" w:color="auto" w:fill="CCFFCC"/>
          </w:tcPr>
          <w:p>
            <w:pPr>
              <w:spacing w:after="0" w:line="198" w:lineRule="exact"/>
              <w:rPr>
                <w:sz w:val="20"/>
                <w:szCs w:val="20"/>
                <w:color w:val="auto"/>
              </w:rPr>
            </w:pPr>
            <w:r>
              <w:rPr>
                <w:rFonts w:ascii="Times New Roman" w:cs="Times New Roman" w:eastAsia="Times New Roman" w:hAnsi="Times New Roman"/>
                <w:sz w:val="18"/>
                <w:szCs w:val="18"/>
                <w:color w:val="auto"/>
              </w:rPr>
              <w:t>Other non-operating income</w:t>
            </w:r>
          </w:p>
        </w:tc>
        <w:tc>
          <w:tcPr>
            <w:tcW w:w="880" w:type="dxa"/>
            <w:vAlign w:val="bottom"/>
            <w:vMerge w:val="restart"/>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vMerge w:val="restart"/>
            <w:shd w:val="clear" w:color="auto" w:fill="CCFFCC"/>
          </w:tcPr>
          <w:p>
            <w:pPr>
              <w:spacing w:after="0"/>
              <w:rPr>
                <w:sz w:val="17"/>
                <w:szCs w:val="17"/>
                <w:color w:val="auto"/>
              </w:rPr>
            </w:pPr>
          </w:p>
        </w:tc>
        <w:tc>
          <w:tcPr>
            <w:tcW w:w="880" w:type="dxa"/>
            <w:vAlign w:val="bottom"/>
            <w:vMerge w:val="restart"/>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vMerge w:val="restart"/>
            <w:shd w:val="clear" w:color="auto" w:fill="CCFFCC"/>
          </w:tcPr>
          <w:p>
            <w:pPr>
              <w:spacing w:after="0"/>
              <w:rPr>
                <w:sz w:val="17"/>
                <w:szCs w:val="17"/>
                <w:color w:val="auto"/>
              </w:rPr>
            </w:pPr>
          </w:p>
        </w:tc>
        <w:tc>
          <w:tcPr>
            <w:tcW w:w="900" w:type="dxa"/>
            <w:vAlign w:val="bottom"/>
            <w:vMerge w:val="restart"/>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vMerge w:val="restart"/>
            <w:shd w:val="clear" w:color="auto" w:fill="CCFFCC"/>
          </w:tcPr>
          <w:p>
            <w:pPr>
              <w:spacing w:after="0"/>
              <w:rPr>
                <w:sz w:val="17"/>
                <w:szCs w:val="17"/>
                <w:color w:val="auto"/>
              </w:rPr>
            </w:pPr>
          </w:p>
        </w:tc>
        <w:tc>
          <w:tcPr>
            <w:tcW w:w="900" w:type="dxa"/>
            <w:vAlign w:val="bottom"/>
            <w:vMerge w:val="restart"/>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vMerge w:val="restart"/>
            <w:shd w:val="clear" w:color="auto" w:fill="CCFFCC"/>
          </w:tcPr>
          <w:p>
            <w:pPr>
              <w:spacing w:after="0"/>
              <w:rPr>
                <w:sz w:val="17"/>
                <w:szCs w:val="17"/>
                <w:color w:val="auto"/>
              </w:rPr>
            </w:pPr>
          </w:p>
        </w:tc>
        <w:tc>
          <w:tcPr>
            <w:tcW w:w="900" w:type="dxa"/>
            <w:vAlign w:val="bottom"/>
            <w:vMerge w:val="restart"/>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vMerge w:val="restart"/>
            <w:shd w:val="clear" w:color="auto" w:fill="CCFFCC"/>
          </w:tcPr>
          <w:p>
            <w:pPr>
              <w:spacing w:after="0"/>
              <w:rPr>
                <w:sz w:val="17"/>
                <w:szCs w:val="17"/>
                <w:color w:val="auto"/>
              </w:rPr>
            </w:pPr>
          </w:p>
        </w:tc>
        <w:tc>
          <w:tcPr>
            <w:tcW w:w="900" w:type="dxa"/>
            <w:vAlign w:val="bottom"/>
            <w:vMerge w:val="restart"/>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vMerge w:val="restart"/>
            <w:shd w:val="clear" w:color="auto" w:fill="CCFFCC"/>
          </w:tcPr>
          <w:p>
            <w:pPr>
              <w:spacing w:after="0"/>
              <w:rPr>
                <w:sz w:val="17"/>
                <w:szCs w:val="17"/>
                <w:color w:val="auto"/>
              </w:rPr>
            </w:pPr>
          </w:p>
        </w:tc>
        <w:tc>
          <w:tcPr>
            <w:tcW w:w="1000" w:type="dxa"/>
            <w:vAlign w:val="bottom"/>
            <w:vMerge w:val="restart"/>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780" w:type="dxa"/>
            <w:vAlign w:val="bottom"/>
            <w:vMerge w:val="restart"/>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vMerge w:val="restart"/>
            <w:shd w:val="clear" w:color="auto" w:fill="CCFFCC"/>
          </w:tcPr>
          <w:p>
            <w:pPr>
              <w:spacing w:after="0"/>
              <w:rPr>
                <w:sz w:val="17"/>
                <w:szCs w:val="17"/>
                <w:color w:val="auto"/>
              </w:rPr>
            </w:pPr>
          </w:p>
        </w:tc>
        <w:tc>
          <w:tcPr>
            <w:tcW w:w="920" w:type="dxa"/>
            <w:vAlign w:val="bottom"/>
            <w:vMerge w:val="restart"/>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21"/>
        </w:trPr>
        <w:tc>
          <w:tcPr>
            <w:tcW w:w="2240" w:type="dxa"/>
            <w:vAlign w:val="bottom"/>
            <w:tcBorders>
              <w:bottom w:val="single" w:sz="8" w:color="CCFFCC"/>
            </w:tcBorders>
            <w:shd w:val="clear" w:color="auto" w:fill="CCFFCC"/>
          </w:tcPr>
          <w:p>
            <w:pPr>
              <w:spacing w:after="0"/>
              <w:rPr>
                <w:sz w:val="20"/>
                <w:szCs w:val="20"/>
                <w:color w:val="auto"/>
              </w:rPr>
            </w:pPr>
            <w:r>
              <w:rPr>
                <w:rFonts w:ascii="Times New Roman" w:cs="Times New Roman" w:eastAsia="Times New Roman" w:hAnsi="Times New Roman"/>
                <w:sz w:val="18"/>
                <w:szCs w:val="18"/>
                <w:color w:val="auto"/>
              </w:rPr>
              <w:t>(expense)</w:t>
            </w:r>
          </w:p>
        </w:tc>
        <w:tc>
          <w:tcPr>
            <w:tcW w:w="880" w:type="dxa"/>
            <w:vAlign w:val="bottom"/>
            <w:tcBorders>
              <w:bottom w:val="single" w:sz="8" w:color="auto"/>
            </w:tcBorders>
            <w:vMerge w:val="continue"/>
            <w:shd w:val="clear" w:color="auto" w:fill="CCFFCC"/>
          </w:tcPr>
          <w:p>
            <w:pPr>
              <w:spacing w:after="0"/>
              <w:rPr>
                <w:sz w:val="19"/>
                <w:szCs w:val="19"/>
                <w:color w:val="auto"/>
              </w:rPr>
            </w:pPr>
          </w:p>
        </w:tc>
        <w:tc>
          <w:tcPr>
            <w:tcW w:w="100" w:type="dxa"/>
            <w:vAlign w:val="bottom"/>
            <w:tcBorders>
              <w:bottom w:val="single" w:sz="8" w:color="CCFFCC"/>
            </w:tcBorders>
            <w:vMerge w:val="continue"/>
            <w:shd w:val="clear" w:color="auto" w:fill="CCFFCC"/>
          </w:tcPr>
          <w:p>
            <w:pPr>
              <w:spacing w:after="0"/>
              <w:rPr>
                <w:sz w:val="19"/>
                <w:szCs w:val="19"/>
                <w:color w:val="auto"/>
              </w:rPr>
            </w:pPr>
          </w:p>
        </w:tc>
        <w:tc>
          <w:tcPr>
            <w:tcW w:w="880" w:type="dxa"/>
            <w:vAlign w:val="bottom"/>
            <w:tcBorders>
              <w:bottom w:val="single" w:sz="8" w:color="auto"/>
            </w:tcBorders>
            <w:vMerge w:val="continue"/>
            <w:shd w:val="clear" w:color="auto" w:fill="CCFFCC"/>
          </w:tcPr>
          <w:p>
            <w:pPr>
              <w:spacing w:after="0"/>
              <w:rPr>
                <w:sz w:val="19"/>
                <w:szCs w:val="19"/>
                <w:color w:val="auto"/>
              </w:rPr>
            </w:pPr>
          </w:p>
        </w:tc>
        <w:tc>
          <w:tcPr>
            <w:tcW w:w="100" w:type="dxa"/>
            <w:vAlign w:val="bottom"/>
            <w:tcBorders>
              <w:bottom w:val="single" w:sz="8" w:color="CCFFCC"/>
            </w:tcBorders>
            <w:vMerge w:val="continue"/>
            <w:shd w:val="clear" w:color="auto" w:fill="CCFFCC"/>
          </w:tcPr>
          <w:p>
            <w:pPr>
              <w:spacing w:after="0"/>
              <w:rPr>
                <w:sz w:val="19"/>
                <w:szCs w:val="19"/>
                <w:color w:val="auto"/>
              </w:rPr>
            </w:pPr>
          </w:p>
        </w:tc>
        <w:tc>
          <w:tcPr>
            <w:tcW w:w="900" w:type="dxa"/>
            <w:vAlign w:val="bottom"/>
            <w:tcBorders>
              <w:bottom w:val="single" w:sz="8" w:color="auto"/>
            </w:tcBorders>
            <w:vMerge w:val="continue"/>
            <w:shd w:val="clear" w:color="auto" w:fill="CCFFCC"/>
          </w:tcPr>
          <w:p>
            <w:pPr>
              <w:spacing w:after="0"/>
              <w:rPr>
                <w:sz w:val="19"/>
                <w:szCs w:val="19"/>
                <w:color w:val="auto"/>
              </w:rPr>
            </w:pPr>
          </w:p>
        </w:tc>
        <w:tc>
          <w:tcPr>
            <w:tcW w:w="100" w:type="dxa"/>
            <w:vAlign w:val="bottom"/>
            <w:tcBorders>
              <w:bottom w:val="single" w:sz="8" w:color="CCFFCC"/>
            </w:tcBorders>
            <w:vMerge w:val="continue"/>
            <w:shd w:val="clear" w:color="auto" w:fill="CCFFCC"/>
          </w:tcPr>
          <w:p>
            <w:pPr>
              <w:spacing w:after="0"/>
              <w:rPr>
                <w:sz w:val="19"/>
                <w:szCs w:val="19"/>
                <w:color w:val="auto"/>
              </w:rPr>
            </w:pPr>
          </w:p>
        </w:tc>
        <w:tc>
          <w:tcPr>
            <w:tcW w:w="900" w:type="dxa"/>
            <w:vAlign w:val="bottom"/>
            <w:tcBorders>
              <w:bottom w:val="single" w:sz="8" w:color="auto"/>
            </w:tcBorders>
            <w:vMerge w:val="continue"/>
            <w:shd w:val="clear" w:color="auto" w:fill="CCFFCC"/>
          </w:tcPr>
          <w:p>
            <w:pPr>
              <w:spacing w:after="0"/>
              <w:rPr>
                <w:sz w:val="19"/>
                <w:szCs w:val="19"/>
                <w:color w:val="auto"/>
              </w:rPr>
            </w:pPr>
          </w:p>
        </w:tc>
        <w:tc>
          <w:tcPr>
            <w:tcW w:w="100" w:type="dxa"/>
            <w:vAlign w:val="bottom"/>
            <w:tcBorders>
              <w:bottom w:val="single" w:sz="8" w:color="CCFFCC"/>
            </w:tcBorders>
            <w:vMerge w:val="continue"/>
            <w:shd w:val="clear" w:color="auto" w:fill="CCFFCC"/>
          </w:tcPr>
          <w:p>
            <w:pPr>
              <w:spacing w:after="0"/>
              <w:rPr>
                <w:sz w:val="19"/>
                <w:szCs w:val="19"/>
                <w:color w:val="auto"/>
              </w:rPr>
            </w:pPr>
          </w:p>
        </w:tc>
        <w:tc>
          <w:tcPr>
            <w:tcW w:w="900" w:type="dxa"/>
            <w:vAlign w:val="bottom"/>
            <w:tcBorders>
              <w:bottom w:val="single" w:sz="8" w:color="auto"/>
            </w:tcBorders>
            <w:vMerge w:val="continue"/>
            <w:shd w:val="clear" w:color="auto" w:fill="CCFFCC"/>
          </w:tcPr>
          <w:p>
            <w:pPr>
              <w:spacing w:after="0"/>
              <w:rPr>
                <w:sz w:val="19"/>
                <w:szCs w:val="19"/>
                <w:color w:val="auto"/>
              </w:rPr>
            </w:pPr>
          </w:p>
        </w:tc>
        <w:tc>
          <w:tcPr>
            <w:tcW w:w="100" w:type="dxa"/>
            <w:vAlign w:val="bottom"/>
            <w:tcBorders>
              <w:bottom w:val="single" w:sz="8" w:color="CCFFCC"/>
            </w:tcBorders>
            <w:vMerge w:val="continue"/>
            <w:shd w:val="clear" w:color="auto" w:fill="CCFFCC"/>
          </w:tcPr>
          <w:p>
            <w:pPr>
              <w:spacing w:after="0"/>
              <w:rPr>
                <w:sz w:val="19"/>
                <w:szCs w:val="19"/>
                <w:color w:val="auto"/>
              </w:rPr>
            </w:pPr>
          </w:p>
        </w:tc>
        <w:tc>
          <w:tcPr>
            <w:tcW w:w="900" w:type="dxa"/>
            <w:vAlign w:val="bottom"/>
            <w:tcBorders>
              <w:bottom w:val="single" w:sz="8" w:color="auto"/>
            </w:tcBorders>
            <w:vMerge w:val="continue"/>
            <w:shd w:val="clear" w:color="auto" w:fill="CCFFCC"/>
          </w:tcPr>
          <w:p>
            <w:pPr>
              <w:spacing w:after="0"/>
              <w:rPr>
                <w:sz w:val="19"/>
                <w:szCs w:val="19"/>
                <w:color w:val="auto"/>
              </w:rPr>
            </w:pPr>
          </w:p>
        </w:tc>
        <w:tc>
          <w:tcPr>
            <w:tcW w:w="120" w:type="dxa"/>
            <w:vAlign w:val="bottom"/>
            <w:tcBorders>
              <w:bottom w:val="single" w:sz="8" w:color="CCFFCC"/>
            </w:tcBorders>
            <w:vMerge w:val="continue"/>
            <w:shd w:val="clear" w:color="auto" w:fill="CCFFCC"/>
          </w:tcPr>
          <w:p>
            <w:pPr>
              <w:spacing w:after="0"/>
              <w:rPr>
                <w:sz w:val="19"/>
                <w:szCs w:val="19"/>
                <w:color w:val="auto"/>
              </w:rPr>
            </w:pPr>
          </w:p>
        </w:tc>
        <w:tc>
          <w:tcPr>
            <w:tcW w:w="1000" w:type="dxa"/>
            <w:vAlign w:val="bottom"/>
            <w:tcBorders>
              <w:bottom w:val="single" w:sz="8" w:color="auto"/>
            </w:tcBorders>
            <w:vMerge w:val="continue"/>
            <w:shd w:val="clear" w:color="auto" w:fill="CCFFCC"/>
          </w:tcPr>
          <w:p>
            <w:pPr>
              <w:spacing w:after="0"/>
              <w:rPr>
                <w:sz w:val="19"/>
                <w:szCs w:val="19"/>
                <w:color w:val="auto"/>
              </w:rPr>
            </w:pPr>
          </w:p>
        </w:tc>
        <w:tc>
          <w:tcPr>
            <w:tcW w:w="100" w:type="dxa"/>
            <w:vAlign w:val="bottom"/>
            <w:tcBorders>
              <w:bottom w:val="single" w:sz="8" w:color="CCFFCC"/>
            </w:tcBorders>
            <w:shd w:val="clear" w:color="auto" w:fill="CCFFCC"/>
          </w:tcPr>
          <w:p>
            <w:pPr>
              <w:spacing w:after="0"/>
              <w:rPr>
                <w:sz w:val="19"/>
                <w:szCs w:val="19"/>
                <w:color w:val="auto"/>
              </w:rPr>
            </w:pPr>
          </w:p>
        </w:tc>
        <w:tc>
          <w:tcPr>
            <w:tcW w:w="120" w:type="dxa"/>
            <w:vAlign w:val="bottom"/>
            <w:tcBorders>
              <w:bottom w:val="single" w:sz="8" w:color="auto"/>
            </w:tcBorders>
            <w:shd w:val="clear" w:color="auto" w:fill="CCFFCC"/>
          </w:tcPr>
          <w:p>
            <w:pPr>
              <w:spacing w:after="0"/>
              <w:rPr>
                <w:sz w:val="19"/>
                <w:szCs w:val="19"/>
                <w:color w:val="auto"/>
              </w:rPr>
            </w:pPr>
          </w:p>
        </w:tc>
        <w:tc>
          <w:tcPr>
            <w:tcW w:w="780" w:type="dxa"/>
            <w:vAlign w:val="bottom"/>
            <w:tcBorders>
              <w:bottom w:val="single" w:sz="8" w:color="auto"/>
            </w:tcBorders>
            <w:vMerge w:val="continue"/>
            <w:shd w:val="clear" w:color="auto" w:fill="CCFFCC"/>
          </w:tcPr>
          <w:p>
            <w:pPr>
              <w:spacing w:after="0"/>
              <w:rPr>
                <w:sz w:val="19"/>
                <w:szCs w:val="19"/>
                <w:color w:val="auto"/>
              </w:rPr>
            </w:pPr>
          </w:p>
        </w:tc>
        <w:tc>
          <w:tcPr>
            <w:tcW w:w="100" w:type="dxa"/>
            <w:vAlign w:val="bottom"/>
            <w:tcBorders>
              <w:bottom w:val="single" w:sz="8" w:color="CCFFCC"/>
            </w:tcBorders>
            <w:vMerge w:val="continue"/>
            <w:shd w:val="clear" w:color="auto" w:fill="CCFFCC"/>
          </w:tcPr>
          <w:p>
            <w:pPr>
              <w:spacing w:after="0"/>
              <w:rPr>
                <w:sz w:val="19"/>
                <w:szCs w:val="19"/>
                <w:color w:val="auto"/>
              </w:rPr>
            </w:pPr>
          </w:p>
        </w:tc>
        <w:tc>
          <w:tcPr>
            <w:tcW w:w="920" w:type="dxa"/>
            <w:vAlign w:val="bottom"/>
            <w:tcBorders>
              <w:bottom w:val="single" w:sz="8" w:color="auto"/>
            </w:tcBorders>
            <w:vMerge w:val="continue"/>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other income (loss)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$996</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$914</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$1,312</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$1,996</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$5,218</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$1,337</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$715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$2,604</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$4,656</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1976755</wp:posOffset>
            </wp:positionH>
            <wp:positionV relativeFrom="paragraph">
              <wp:posOffset>-170815</wp:posOffset>
            </wp:positionV>
            <wp:extent cx="6858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2602230</wp:posOffset>
            </wp:positionH>
            <wp:positionV relativeFrom="paragraph">
              <wp:posOffset>-170815</wp:posOffset>
            </wp:positionV>
            <wp:extent cx="6858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3236595</wp:posOffset>
            </wp:positionH>
            <wp:positionV relativeFrom="paragraph">
              <wp:posOffset>-170815</wp:posOffset>
            </wp:positionV>
            <wp:extent cx="6858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-170815</wp:posOffset>
            </wp:positionV>
            <wp:extent cx="6858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-170815</wp:posOffset>
            </wp:positionV>
            <wp:extent cx="6858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-170815</wp:posOffset>
            </wp:positionV>
            <wp:extent cx="76835"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-170815</wp:posOffset>
            </wp:positionV>
            <wp:extent cx="6858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-170815</wp:posOffset>
            </wp:positionV>
            <wp:extent cx="6858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82" w:lineRule="exact"/>
        <w:rPr>
          <w:sz w:val="20"/>
          <w:szCs w:val="20"/>
          <w:color w:val="auto"/>
        </w:rPr>
      </w:pPr>
    </w:p>
    <w:p>
      <w:pPr>
        <w:ind w:left="360" w:hanging="352"/>
        <w:spacing w:after="0"/>
        <w:tabs>
          <w:tab w:leader="none" w:pos="36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Capital expenditures are as follows (in thousands):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0" w:type="dxa"/>
            <w:vAlign w:val="bottom"/>
            <w:gridSpan w:val="2"/>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0" w:type="dxa"/>
            <w:vAlign w:val="bottom"/>
            <w:gridSpan w:val="2"/>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42"/>
        </w:trPr>
        <w:tc>
          <w:tcPr>
            <w:tcW w:w="2240" w:type="dxa"/>
            <w:vAlign w:val="bottom"/>
          </w:tcPr>
          <w:p>
            <w:pPr>
              <w:spacing w:after="0"/>
              <w:rPr>
                <w:sz w:val="12"/>
                <w:szCs w:val="12"/>
                <w:color w:val="auto"/>
              </w:rPr>
            </w:pPr>
          </w:p>
        </w:tc>
        <w:tc>
          <w:tcPr>
            <w:tcW w:w="880" w:type="dxa"/>
            <w:vAlign w:val="bottom"/>
            <w:tcBorders>
              <w:top w:val="single" w:sz="8" w:color="auto"/>
              <w:bottom w:val="single" w:sz="8" w:color="auto"/>
            </w:tcBorders>
          </w:tcPr>
          <w:p>
            <w:pPr>
              <w:jc w:val="right"/>
              <w:ind w:right="159"/>
              <w:spacing w:after="0" w:line="142" w:lineRule="exact"/>
              <w:rPr>
                <w:sz w:val="20"/>
                <w:szCs w:val="20"/>
                <w:color w:val="auto"/>
              </w:rPr>
            </w:pPr>
            <w:r>
              <w:rPr>
                <w:rFonts w:ascii="Times New Roman" w:cs="Times New Roman" w:eastAsia="Times New Roman" w:hAnsi="Times New Roman"/>
                <w:sz w:val="14"/>
                <w:szCs w:val="14"/>
                <w:b w:val="1"/>
                <w:bCs w:val="1"/>
                <w:color w:val="auto"/>
              </w:rPr>
              <w:t>1st Qtr</w:t>
            </w:r>
          </w:p>
        </w:tc>
        <w:tc>
          <w:tcPr>
            <w:tcW w:w="100" w:type="dxa"/>
            <w:vAlign w:val="bottom"/>
            <w:tcBorders>
              <w:top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128"/>
              <w:spacing w:after="0" w:line="142" w:lineRule="exact"/>
              <w:rPr>
                <w:sz w:val="20"/>
                <w:szCs w:val="20"/>
                <w:color w:val="auto"/>
              </w:rPr>
            </w:pPr>
            <w:r>
              <w:rPr>
                <w:rFonts w:ascii="Times New Roman" w:cs="Times New Roman" w:eastAsia="Times New Roman" w:hAnsi="Times New Roman"/>
                <w:sz w:val="14"/>
                <w:szCs w:val="14"/>
                <w:b w:val="1"/>
                <w:bCs w:val="1"/>
                <w:color w:val="auto"/>
              </w:rPr>
              <w:t>2nd Qtr</w:t>
            </w:r>
          </w:p>
        </w:tc>
        <w:tc>
          <w:tcPr>
            <w:tcW w:w="100" w:type="dxa"/>
            <w:vAlign w:val="bottom"/>
            <w:tcBorders>
              <w:top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3rd Qtr</w:t>
            </w:r>
          </w:p>
        </w:tc>
        <w:tc>
          <w:tcPr>
            <w:tcW w:w="100" w:type="dxa"/>
            <w:vAlign w:val="bottom"/>
            <w:tcBorders>
              <w:top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148"/>
              <w:spacing w:after="0" w:line="142" w:lineRule="exact"/>
              <w:rPr>
                <w:sz w:val="20"/>
                <w:szCs w:val="20"/>
                <w:color w:val="auto"/>
              </w:rPr>
            </w:pPr>
            <w:r>
              <w:rPr>
                <w:rFonts w:ascii="Times New Roman" w:cs="Times New Roman" w:eastAsia="Times New Roman" w:hAnsi="Times New Roman"/>
                <w:sz w:val="14"/>
                <w:szCs w:val="14"/>
                <w:b w:val="1"/>
                <w:bCs w:val="1"/>
                <w:color w:val="auto"/>
              </w:rPr>
              <w:t>4th Qtr</w:t>
            </w:r>
          </w:p>
        </w:tc>
        <w:tc>
          <w:tcPr>
            <w:tcW w:w="100" w:type="dxa"/>
            <w:vAlign w:val="bottom"/>
            <w:tcBorders>
              <w:top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88"/>
              <w:spacing w:after="0" w:line="142" w:lineRule="exact"/>
              <w:rPr>
                <w:sz w:val="20"/>
                <w:szCs w:val="20"/>
                <w:color w:val="auto"/>
              </w:rPr>
            </w:pPr>
            <w:r>
              <w:rPr>
                <w:rFonts w:ascii="Times New Roman" w:cs="Times New Roman" w:eastAsia="Times New Roman" w:hAnsi="Times New Roman"/>
                <w:sz w:val="14"/>
                <w:szCs w:val="14"/>
                <w:b w:val="1"/>
                <w:bCs w:val="1"/>
                <w:color w:val="auto"/>
              </w:rPr>
              <w:t>Full Year</w:t>
            </w:r>
          </w:p>
        </w:tc>
        <w:tc>
          <w:tcPr>
            <w:tcW w:w="100" w:type="dxa"/>
            <w:vAlign w:val="bottom"/>
          </w:tcPr>
          <w:p>
            <w:pPr>
              <w:spacing w:after="0"/>
              <w:rPr>
                <w:sz w:val="12"/>
                <w:szCs w:val="12"/>
                <w:color w:val="auto"/>
              </w:rPr>
            </w:pPr>
          </w:p>
        </w:tc>
        <w:tc>
          <w:tcPr>
            <w:tcW w:w="90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8"/>
              </w:rPr>
              <w:t>1st Qtr</w:t>
            </w:r>
          </w:p>
        </w:tc>
        <w:tc>
          <w:tcPr>
            <w:tcW w:w="120" w:type="dxa"/>
            <w:vAlign w:val="bottom"/>
            <w:tcBorders>
              <w:top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188"/>
              <w:spacing w:after="0" w:line="142" w:lineRule="exact"/>
              <w:rPr>
                <w:sz w:val="20"/>
                <w:szCs w:val="20"/>
                <w:color w:val="auto"/>
              </w:rPr>
            </w:pPr>
            <w:r>
              <w:rPr>
                <w:rFonts w:ascii="Times New Roman" w:cs="Times New Roman" w:eastAsia="Times New Roman" w:hAnsi="Times New Roman"/>
                <w:sz w:val="14"/>
                <w:szCs w:val="14"/>
                <w:b w:val="1"/>
                <w:bCs w:val="1"/>
                <w:color w:val="auto"/>
              </w:rPr>
              <w:t>2nd Qtr</w:t>
            </w:r>
          </w:p>
        </w:tc>
        <w:tc>
          <w:tcPr>
            <w:tcW w:w="100" w:type="dxa"/>
            <w:vAlign w:val="bottom"/>
            <w:tcBorders>
              <w:top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148"/>
              <w:spacing w:after="0" w:line="142" w:lineRule="exact"/>
              <w:rPr>
                <w:sz w:val="20"/>
                <w:szCs w:val="20"/>
                <w:color w:val="auto"/>
              </w:rPr>
            </w:pPr>
            <w:r>
              <w:rPr>
                <w:rFonts w:ascii="Times New Roman" w:cs="Times New Roman" w:eastAsia="Times New Roman" w:hAnsi="Times New Roman"/>
                <w:sz w:val="14"/>
                <w:szCs w:val="14"/>
                <w:b w:val="1"/>
                <w:bCs w:val="1"/>
                <w:color w:val="auto"/>
              </w:rPr>
              <w:t>3rd Qtr</w:t>
            </w:r>
          </w:p>
        </w:tc>
        <w:tc>
          <w:tcPr>
            <w:tcW w:w="100" w:type="dxa"/>
            <w:vAlign w:val="bottom"/>
            <w:tcBorders>
              <w:top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ind w:left="300"/>
              <w:spacing w:after="0" w:line="142" w:lineRule="exact"/>
              <w:rPr>
                <w:sz w:val="20"/>
                <w:szCs w:val="20"/>
                <w:color w:val="auto"/>
              </w:rPr>
            </w:pPr>
            <w:r>
              <w:rPr>
                <w:rFonts w:ascii="Times New Roman" w:cs="Times New Roman" w:eastAsia="Times New Roman" w:hAnsi="Times New Roman"/>
                <w:sz w:val="14"/>
                <w:szCs w:val="14"/>
                <w:b w:val="1"/>
                <w:bCs w:val="1"/>
                <w:color w:val="auto"/>
              </w:rPr>
              <w:t>YTD</w:t>
            </w:r>
          </w:p>
        </w:tc>
      </w:tr>
      <w:tr>
        <w:trPr>
          <w:trHeight w:val="249"/>
        </w:trPr>
        <w:tc>
          <w:tcPr>
            <w:tcW w:w="22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8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$2,321</w:t>
            </w:r>
          </w:p>
        </w:tc>
        <w:tc>
          <w:tcPr>
            <w:tcW w:w="98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$2,217</w:t>
            </w:r>
          </w:p>
        </w:tc>
        <w:tc>
          <w:tcPr>
            <w:tcW w:w="10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$1,009</w:t>
            </w:r>
          </w:p>
        </w:tc>
        <w:tc>
          <w:tcPr>
            <w:tcW w:w="10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$3,128</w:t>
            </w:r>
          </w:p>
        </w:tc>
        <w:tc>
          <w:tcPr>
            <w:tcW w:w="10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$8,675</w:t>
            </w:r>
          </w:p>
        </w:tc>
        <w:tc>
          <w:tcPr>
            <w:tcW w:w="10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$891</w:t>
            </w:r>
          </w:p>
        </w:tc>
        <w:tc>
          <w:tcPr>
            <w:tcW w:w="112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$3,980</w:t>
            </w:r>
          </w:p>
        </w:tc>
        <w:tc>
          <w:tcPr>
            <w:tcW w:w="10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$5,928</w:t>
            </w:r>
          </w:p>
        </w:tc>
        <w:tc>
          <w:tcPr>
            <w:tcW w:w="1020" w:type="dxa"/>
            <w:vAlign w:val="bottom"/>
            <w:gridSpan w:val="2"/>
            <w:shd w:val="clear" w:color="auto" w:fill="CCFFCC"/>
          </w:tcPr>
          <w:p>
            <w:pPr>
              <w:ind w:left="420"/>
              <w:spacing w:after="0"/>
              <w:rPr>
                <w:sz w:val="20"/>
                <w:szCs w:val="20"/>
                <w:color w:val="auto"/>
              </w:rPr>
            </w:pPr>
            <w:r>
              <w:rPr>
                <w:rFonts w:ascii="Times New Roman" w:cs="Times New Roman" w:eastAsia="Times New Roman" w:hAnsi="Times New Roman"/>
                <w:sz w:val="18"/>
                <w:szCs w:val="18"/>
                <w:color w:val="auto"/>
                <w:w w:val="99"/>
              </w:rPr>
              <w:t>$10,799</w:t>
            </w:r>
          </w:p>
        </w:tc>
      </w:tr>
      <w:tr>
        <w:trPr>
          <w:trHeight w:val="1445"/>
        </w:trPr>
        <w:tc>
          <w:tcPr>
            <w:tcW w:w="2240" w:type="dxa"/>
            <w:vAlign w:val="bottom"/>
            <w:tcBorders>
              <w:top w:val="single" w:sz="8" w:color="CCFFCC"/>
              <w:bottom w:val="single" w:sz="8" w:color="9A9A9A"/>
            </w:tcBorders>
          </w:tcPr>
          <w:p>
            <w:pPr>
              <w:spacing w:after="0"/>
              <w:rPr>
                <w:sz w:val="24"/>
                <w:szCs w:val="24"/>
                <w:color w:val="auto"/>
              </w:rPr>
            </w:pPr>
          </w:p>
        </w:tc>
        <w:tc>
          <w:tcPr>
            <w:tcW w:w="880" w:type="dxa"/>
            <w:vAlign w:val="bottom"/>
            <w:tcBorders>
              <w:top w:val="single" w:sz="8" w:color="auto"/>
              <w:bottom w:val="single" w:sz="8" w:color="9A9A9A"/>
            </w:tcBorders>
          </w:tcPr>
          <w:p>
            <w:pPr>
              <w:spacing w:after="0"/>
              <w:rPr>
                <w:sz w:val="24"/>
                <w:szCs w:val="24"/>
                <w:color w:val="auto"/>
              </w:rPr>
            </w:pPr>
          </w:p>
        </w:tc>
        <w:tc>
          <w:tcPr>
            <w:tcW w:w="100" w:type="dxa"/>
            <w:vAlign w:val="bottom"/>
            <w:tcBorders>
              <w:top w:val="single" w:sz="8" w:color="CCFFCC"/>
              <w:bottom w:val="single" w:sz="8" w:color="9A9A9A"/>
            </w:tcBorders>
          </w:tcPr>
          <w:p>
            <w:pPr>
              <w:spacing w:after="0"/>
              <w:rPr>
                <w:sz w:val="24"/>
                <w:szCs w:val="24"/>
                <w:color w:val="auto"/>
              </w:rPr>
            </w:pPr>
          </w:p>
        </w:tc>
        <w:tc>
          <w:tcPr>
            <w:tcW w:w="880" w:type="dxa"/>
            <w:vAlign w:val="bottom"/>
            <w:tcBorders>
              <w:top w:val="single" w:sz="8" w:color="auto"/>
              <w:bottom w:val="single" w:sz="8" w:color="9A9A9A"/>
            </w:tcBorders>
          </w:tcPr>
          <w:p>
            <w:pPr>
              <w:spacing w:after="0"/>
              <w:rPr>
                <w:sz w:val="24"/>
                <w:szCs w:val="24"/>
                <w:color w:val="auto"/>
              </w:rPr>
            </w:pPr>
          </w:p>
        </w:tc>
        <w:tc>
          <w:tcPr>
            <w:tcW w:w="100" w:type="dxa"/>
            <w:vAlign w:val="bottom"/>
            <w:tcBorders>
              <w:top w:val="single" w:sz="8" w:color="CCFFCC"/>
              <w:bottom w:val="single" w:sz="8" w:color="9A9A9A"/>
            </w:tcBorders>
          </w:tcPr>
          <w:p>
            <w:pPr>
              <w:spacing w:after="0"/>
              <w:rPr>
                <w:sz w:val="24"/>
                <w:szCs w:val="24"/>
                <w:color w:val="auto"/>
              </w:rPr>
            </w:pPr>
          </w:p>
        </w:tc>
        <w:tc>
          <w:tcPr>
            <w:tcW w:w="900" w:type="dxa"/>
            <w:vAlign w:val="bottom"/>
            <w:tcBorders>
              <w:top w:val="single" w:sz="8" w:color="auto"/>
              <w:bottom w:val="single" w:sz="8" w:color="9A9A9A"/>
            </w:tcBorders>
          </w:tcPr>
          <w:p>
            <w:pPr>
              <w:spacing w:after="0"/>
              <w:rPr>
                <w:sz w:val="24"/>
                <w:szCs w:val="24"/>
                <w:color w:val="auto"/>
              </w:rPr>
            </w:pPr>
          </w:p>
        </w:tc>
        <w:tc>
          <w:tcPr>
            <w:tcW w:w="100" w:type="dxa"/>
            <w:vAlign w:val="bottom"/>
            <w:tcBorders>
              <w:top w:val="single" w:sz="8" w:color="CCFFCC"/>
              <w:bottom w:val="single" w:sz="8" w:color="9A9A9A"/>
            </w:tcBorders>
          </w:tcPr>
          <w:p>
            <w:pPr>
              <w:spacing w:after="0"/>
              <w:rPr>
                <w:sz w:val="24"/>
                <w:szCs w:val="24"/>
                <w:color w:val="auto"/>
              </w:rPr>
            </w:pPr>
          </w:p>
        </w:tc>
        <w:tc>
          <w:tcPr>
            <w:tcW w:w="900" w:type="dxa"/>
            <w:vAlign w:val="bottom"/>
            <w:tcBorders>
              <w:top w:val="single" w:sz="8" w:color="auto"/>
              <w:bottom w:val="single" w:sz="8" w:color="9A9A9A"/>
            </w:tcBorders>
          </w:tcPr>
          <w:p>
            <w:pPr>
              <w:spacing w:after="0"/>
              <w:rPr>
                <w:sz w:val="24"/>
                <w:szCs w:val="24"/>
                <w:color w:val="auto"/>
              </w:rPr>
            </w:pPr>
          </w:p>
        </w:tc>
        <w:tc>
          <w:tcPr>
            <w:tcW w:w="100" w:type="dxa"/>
            <w:vAlign w:val="bottom"/>
            <w:tcBorders>
              <w:top w:val="single" w:sz="8" w:color="CCFFCC"/>
              <w:bottom w:val="single" w:sz="8" w:color="9A9A9A"/>
            </w:tcBorders>
          </w:tcPr>
          <w:p>
            <w:pPr>
              <w:spacing w:after="0"/>
              <w:rPr>
                <w:sz w:val="24"/>
                <w:szCs w:val="24"/>
                <w:color w:val="auto"/>
              </w:rPr>
            </w:pPr>
          </w:p>
        </w:tc>
        <w:tc>
          <w:tcPr>
            <w:tcW w:w="900" w:type="dxa"/>
            <w:vAlign w:val="bottom"/>
            <w:tcBorders>
              <w:top w:val="single" w:sz="8" w:color="auto"/>
              <w:bottom w:val="single" w:sz="8" w:color="9A9A9A"/>
            </w:tcBorders>
          </w:tcPr>
          <w:p>
            <w:pPr>
              <w:spacing w:after="0"/>
              <w:rPr>
                <w:sz w:val="24"/>
                <w:szCs w:val="24"/>
                <w:color w:val="auto"/>
              </w:rPr>
            </w:pPr>
          </w:p>
        </w:tc>
        <w:tc>
          <w:tcPr>
            <w:tcW w:w="100" w:type="dxa"/>
            <w:vAlign w:val="bottom"/>
            <w:tcBorders>
              <w:top w:val="single" w:sz="8" w:color="CCFFCC"/>
              <w:bottom w:val="single" w:sz="8" w:color="9A9A9A"/>
            </w:tcBorders>
          </w:tcPr>
          <w:p>
            <w:pPr>
              <w:spacing w:after="0"/>
              <w:rPr>
                <w:sz w:val="24"/>
                <w:szCs w:val="24"/>
                <w:color w:val="auto"/>
              </w:rPr>
            </w:pPr>
          </w:p>
        </w:tc>
        <w:tc>
          <w:tcPr>
            <w:tcW w:w="900" w:type="dxa"/>
            <w:vAlign w:val="bottom"/>
            <w:tcBorders>
              <w:top w:val="single" w:sz="8" w:color="auto"/>
              <w:bottom w:val="single" w:sz="8" w:color="9A9A9A"/>
            </w:tcBorders>
          </w:tcPr>
          <w:p>
            <w:pPr>
              <w:spacing w:after="0"/>
              <w:rPr>
                <w:sz w:val="24"/>
                <w:szCs w:val="24"/>
                <w:color w:val="auto"/>
              </w:rPr>
            </w:pPr>
          </w:p>
        </w:tc>
        <w:tc>
          <w:tcPr>
            <w:tcW w:w="120" w:type="dxa"/>
            <w:vAlign w:val="bottom"/>
            <w:tcBorders>
              <w:top w:val="single" w:sz="8" w:color="CCFFCC"/>
              <w:bottom w:val="single" w:sz="8" w:color="9A9A9A"/>
            </w:tcBorders>
          </w:tcPr>
          <w:p>
            <w:pPr>
              <w:spacing w:after="0"/>
              <w:rPr>
                <w:sz w:val="24"/>
                <w:szCs w:val="24"/>
                <w:color w:val="auto"/>
              </w:rPr>
            </w:pPr>
          </w:p>
        </w:tc>
        <w:tc>
          <w:tcPr>
            <w:tcW w:w="1000" w:type="dxa"/>
            <w:vAlign w:val="bottom"/>
            <w:tcBorders>
              <w:top w:val="single" w:sz="8" w:color="auto"/>
              <w:bottom w:val="single" w:sz="8" w:color="9A9A9A"/>
            </w:tcBorders>
          </w:tcPr>
          <w:p>
            <w:pPr>
              <w:spacing w:after="0"/>
              <w:rPr>
                <w:sz w:val="24"/>
                <w:szCs w:val="24"/>
                <w:color w:val="auto"/>
              </w:rPr>
            </w:pPr>
          </w:p>
        </w:tc>
        <w:tc>
          <w:tcPr>
            <w:tcW w:w="100" w:type="dxa"/>
            <w:vAlign w:val="bottom"/>
            <w:tcBorders>
              <w:top w:val="single" w:sz="8" w:color="CCFFCC"/>
              <w:bottom w:val="single" w:sz="8" w:color="9A9A9A"/>
            </w:tcBorders>
          </w:tcPr>
          <w:p>
            <w:pPr>
              <w:spacing w:after="0"/>
              <w:rPr>
                <w:sz w:val="24"/>
                <w:szCs w:val="24"/>
                <w:color w:val="auto"/>
              </w:rPr>
            </w:pPr>
          </w:p>
        </w:tc>
        <w:tc>
          <w:tcPr>
            <w:tcW w:w="900" w:type="dxa"/>
            <w:vAlign w:val="bottom"/>
            <w:tcBorders>
              <w:top w:val="single" w:sz="8" w:color="auto"/>
              <w:bottom w:val="single" w:sz="8" w:color="9A9A9A"/>
            </w:tcBorders>
          </w:tcPr>
          <w:p>
            <w:pPr>
              <w:spacing w:after="0"/>
              <w:rPr>
                <w:sz w:val="24"/>
                <w:szCs w:val="24"/>
                <w:color w:val="auto"/>
              </w:rPr>
            </w:pPr>
          </w:p>
        </w:tc>
        <w:tc>
          <w:tcPr>
            <w:tcW w:w="100" w:type="dxa"/>
            <w:vAlign w:val="bottom"/>
            <w:tcBorders>
              <w:top w:val="single" w:sz="8" w:color="CCFFCC"/>
              <w:bottom w:val="single" w:sz="8" w:color="9A9A9A"/>
            </w:tcBorders>
          </w:tcPr>
          <w:p>
            <w:pPr>
              <w:spacing w:after="0"/>
              <w:rPr>
                <w:sz w:val="24"/>
                <w:szCs w:val="24"/>
                <w:color w:val="auto"/>
              </w:rPr>
            </w:pPr>
          </w:p>
        </w:tc>
        <w:tc>
          <w:tcPr>
            <w:tcW w:w="920" w:type="dxa"/>
            <w:vAlign w:val="bottom"/>
            <w:tcBorders>
              <w:top w:val="single" w:sz="8" w:color="auto"/>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-967740</wp:posOffset>
            </wp:positionV>
            <wp:extent cx="6858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-950595</wp:posOffset>
            </wp:positionV>
            <wp:extent cx="6858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2602230</wp:posOffset>
            </wp:positionH>
            <wp:positionV relativeFrom="paragraph">
              <wp:posOffset>-967740</wp:posOffset>
            </wp:positionV>
            <wp:extent cx="6858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2602230</wp:posOffset>
            </wp:positionH>
            <wp:positionV relativeFrom="paragraph">
              <wp:posOffset>-950595</wp:posOffset>
            </wp:positionV>
            <wp:extent cx="6858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3236595</wp:posOffset>
            </wp:positionH>
            <wp:positionV relativeFrom="paragraph">
              <wp:posOffset>-967740</wp:posOffset>
            </wp:positionV>
            <wp:extent cx="6858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3236595</wp:posOffset>
            </wp:positionH>
            <wp:positionV relativeFrom="paragraph">
              <wp:posOffset>-950595</wp:posOffset>
            </wp:positionV>
            <wp:extent cx="6858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-967740</wp:posOffset>
            </wp:positionV>
            <wp:extent cx="6858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-950595</wp:posOffset>
            </wp:positionV>
            <wp:extent cx="6858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-967740</wp:posOffset>
            </wp:positionV>
            <wp:extent cx="6858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-950595</wp:posOffset>
            </wp:positionV>
            <wp:extent cx="6858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-967740</wp:posOffset>
            </wp:positionV>
            <wp:extent cx="76835"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-950595</wp:posOffset>
            </wp:positionV>
            <wp:extent cx="76835"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-967740</wp:posOffset>
            </wp:positionV>
            <wp:extent cx="6858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-950595</wp:posOffset>
            </wp:positionV>
            <wp:extent cx="6858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-967740</wp:posOffset>
            </wp:positionV>
            <wp:extent cx="6858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-950595</wp:posOffset>
            </wp:positionV>
            <wp:extent cx="6858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7" w:name="page18"/>
    <w:bookmarkEnd w:id="17"/>
    <w:p>
      <w:pPr>
        <w:ind w:left="360" w:hanging="352"/>
        <w:spacing w:after="0"/>
        <w:tabs>
          <w:tab w:leader="none" w:pos="36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 Repurchase Activity (in thousands):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24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2"/>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2025</w:t>
            </w:r>
          </w:p>
        </w:tc>
        <w:tc>
          <w:tcPr>
            <w:tcW w:w="7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240" w:type="dxa"/>
            <w:vAlign w:val="bottom"/>
          </w:tcPr>
          <w:p>
            <w:pPr>
              <w:spacing w:after="0"/>
              <w:rPr>
                <w:sz w:val="12"/>
                <w:szCs w:val="12"/>
                <w:color w:val="auto"/>
              </w:rPr>
            </w:pPr>
          </w:p>
        </w:tc>
        <w:tc>
          <w:tcPr>
            <w:tcW w:w="880" w:type="dxa"/>
            <w:vAlign w:val="bottom"/>
          </w:tcPr>
          <w:p>
            <w:pPr>
              <w:jc w:val="right"/>
              <w:ind w:right="152"/>
              <w:spacing w:after="0" w:line="142" w:lineRule="exact"/>
              <w:rPr>
                <w:sz w:val="20"/>
                <w:szCs w:val="20"/>
                <w:color w:val="auto"/>
              </w:rPr>
            </w:pPr>
            <w:r>
              <w:rPr>
                <w:rFonts w:ascii="Times New Roman" w:cs="Times New Roman" w:eastAsia="Times New Roman" w:hAnsi="Times New Roman"/>
                <w:sz w:val="14"/>
                <w:szCs w:val="14"/>
                <w:b w:val="1"/>
                <w:bCs w:val="1"/>
                <w:color w:val="auto"/>
              </w:rPr>
              <w:t>1st Qtr</w:t>
            </w:r>
          </w:p>
        </w:tc>
        <w:tc>
          <w:tcPr>
            <w:tcW w:w="100" w:type="dxa"/>
            <w:vAlign w:val="bottom"/>
          </w:tcPr>
          <w:p>
            <w:pPr>
              <w:spacing w:after="0"/>
              <w:rPr>
                <w:sz w:val="12"/>
                <w:szCs w:val="12"/>
                <w:color w:val="auto"/>
              </w:rPr>
            </w:pPr>
          </w:p>
        </w:tc>
        <w:tc>
          <w:tcPr>
            <w:tcW w:w="880" w:type="dxa"/>
            <w:vAlign w:val="bottom"/>
          </w:tcPr>
          <w:p>
            <w:pPr>
              <w:jc w:val="right"/>
              <w:ind w:right="115"/>
              <w:spacing w:after="0" w:line="142" w:lineRule="exact"/>
              <w:rPr>
                <w:sz w:val="20"/>
                <w:szCs w:val="20"/>
                <w:color w:val="auto"/>
              </w:rPr>
            </w:pPr>
            <w:r>
              <w:rPr>
                <w:rFonts w:ascii="Times New Roman" w:cs="Times New Roman" w:eastAsia="Times New Roman" w:hAnsi="Times New Roman"/>
                <w:sz w:val="14"/>
                <w:szCs w:val="14"/>
                <w:b w:val="1"/>
                <w:bCs w:val="1"/>
                <w:color w:val="auto"/>
              </w:rPr>
              <w:t>2nd Qtr</w:t>
            </w:r>
          </w:p>
        </w:tc>
        <w:tc>
          <w:tcPr>
            <w:tcW w:w="100" w:type="dxa"/>
            <w:vAlign w:val="bottom"/>
          </w:tcPr>
          <w:p>
            <w:pPr>
              <w:spacing w:after="0"/>
              <w:rPr>
                <w:sz w:val="12"/>
                <w:szCs w:val="12"/>
                <w:color w:val="auto"/>
              </w:rPr>
            </w:pPr>
          </w:p>
        </w:tc>
        <w:tc>
          <w:tcPr>
            <w:tcW w:w="900" w:type="dxa"/>
            <w:vAlign w:val="bottom"/>
          </w:tcPr>
          <w:p>
            <w:pPr>
              <w:jc w:val="right"/>
              <w:ind w:right="135"/>
              <w:spacing w:after="0" w:line="142" w:lineRule="exact"/>
              <w:rPr>
                <w:sz w:val="20"/>
                <w:szCs w:val="20"/>
                <w:color w:val="auto"/>
              </w:rPr>
            </w:pPr>
            <w:r>
              <w:rPr>
                <w:rFonts w:ascii="Times New Roman" w:cs="Times New Roman" w:eastAsia="Times New Roman" w:hAnsi="Times New Roman"/>
                <w:sz w:val="14"/>
                <w:szCs w:val="14"/>
                <w:b w:val="1"/>
                <w:bCs w:val="1"/>
                <w:color w:val="auto"/>
              </w:rPr>
              <w:t>3rd Qtr</w:t>
            </w:r>
          </w:p>
        </w:tc>
        <w:tc>
          <w:tcPr>
            <w:tcW w:w="100" w:type="dxa"/>
            <w:vAlign w:val="bottom"/>
          </w:tcPr>
          <w:p>
            <w:pPr>
              <w:spacing w:after="0"/>
              <w:rPr>
                <w:sz w:val="12"/>
                <w:szCs w:val="12"/>
                <w:color w:val="auto"/>
              </w:rPr>
            </w:pPr>
          </w:p>
        </w:tc>
        <w:tc>
          <w:tcPr>
            <w:tcW w:w="900" w:type="dxa"/>
            <w:vAlign w:val="bottom"/>
          </w:tcPr>
          <w:p>
            <w:pPr>
              <w:jc w:val="right"/>
              <w:ind w:right="135"/>
              <w:spacing w:after="0" w:line="142" w:lineRule="exact"/>
              <w:rPr>
                <w:sz w:val="20"/>
                <w:szCs w:val="20"/>
                <w:color w:val="auto"/>
              </w:rPr>
            </w:pPr>
            <w:r>
              <w:rPr>
                <w:rFonts w:ascii="Times New Roman" w:cs="Times New Roman" w:eastAsia="Times New Roman" w:hAnsi="Times New Roman"/>
                <w:sz w:val="14"/>
                <w:szCs w:val="14"/>
                <w:b w:val="1"/>
                <w:bCs w:val="1"/>
                <w:color w:val="auto"/>
              </w:rPr>
              <w:t>4th Qtr</w:t>
            </w:r>
          </w:p>
        </w:tc>
        <w:tc>
          <w:tcPr>
            <w:tcW w:w="100" w:type="dxa"/>
            <w:vAlign w:val="bottom"/>
          </w:tcPr>
          <w:p>
            <w:pPr>
              <w:spacing w:after="0"/>
              <w:rPr>
                <w:sz w:val="12"/>
                <w:szCs w:val="12"/>
                <w:color w:val="auto"/>
              </w:rPr>
            </w:pPr>
          </w:p>
        </w:tc>
        <w:tc>
          <w:tcPr>
            <w:tcW w:w="900" w:type="dxa"/>
            <w:vAlign w:val="bottom"/>
          </w:tcPr>
          <w:p>
            <w:pPr>
              <w:jc w:val="right"/>
              <w:ind w:right="75"/>
              <w:spacing w:after="0" w:line="142" w:lineRule="exact"/>
              <w:rPr>
                <w:sz w:val="20"/>
                <w:szCs w:val="20"/>
                <w:color w:val="auto"/>
              </w:rPr>
            </w:pPr>
            <w:r>
              <w:rPr>
                <w:rFonts w:ascii="Times New Roman" w:cs="Times New Roman" w:eastAsia="Times New Roman" w:hAnsi="Times New Roman"/>
                <w:sz w:val="14"/>
                <w:szCs w:val="14"/>
                <w:b w:val="1"/>
                <w:bCs w:val="1"/>
                <w:color w:val="auto"/>
              </w:rPr>
              <w:t>Full Year</w:t>
            </w:r>
          </w:p>
        </w:tc>
        <w:tc>
          <w:tcPr>
            <w:tcW w:w="100" w:type="dxa"/>
            <w:vAlign w:val="bottom"/>
          </w:tcPr>
          <w:p>
            <w:pPr>
              <w:spacing w:after="0"/>
              <w:rPr>
                <w:sz w:val="12"/>
                <w:szCs w:val="12"/>
                <w:color w:val="auto"/>
              </w:rPr>
            </w:pPr>
          </w:p>
        </w:tc>
        <w:tc>
          <w:tcPr>
            <w:tcW w:w="900" w:type="dxa"/>
            <w:vAlign w:val="bottom"/>
          </w:tcPr>
          <w:p>
            <w:pPr>
              <w:jc w:val="right"/>
              <w:ind w:right="155"/>
              <w:spacing w:after="0" w:line="142" w:lineRule="exact"/>
              <w:rPr>
                <w:sz w:val="20"/>
                <w:szCs w:val="20"/>
                <w:color w:val="auto"/>
              </w:rPr>
            </w:pPr>
            <w:r>
              <w:rPr>
                <w:rFonts w:ascii="Times New Roman" w:cs="Times New Roman" w:eastAsia="Times New Roman" w:hAnsi="Times New Roman"/>
                <w:sz w:val="14"/>
                <w:szCs w:val="14"/>
                <w:b w:val="1"/>
                <w:bCs w:val="1"/>
                <w:color w:val="auto"/>
              </w:rPr>
              <w:t>1st Qtr</w:t>
            </w:r>
          </w:p>
        </w:tc>
        <w:tc>
          <w:tcPr>
            <w:tcW w:w="120" w:type="dxa"/>
            <w:vAlign w:val="bottom"/>
          </w:tcPr>
          <w:p>
            <w:pPr>
              <w:spacing w:after="0"/>
              <w:rPr>
                <w:sz w:val="12"/>
                <w:szCs w:val="12"/>
                <w:color w:val="auto"/>
              </w:rPr>
            </w:pPr>
          </w:p>
        </w:tc>
        <w:tc>
          <w:tcPr>
            <w:tcW w:w="1220" w:type="dxa"/>
            <w:vAlign w:val="bottom"/>
            <w:gridSpan w:val="3"/>
          </w:tcPr>
          <w:p>
            <w:pPr>
              <w:jc w:val="right"/>
              <w:ind w:right="480"/>
              <w:spacing w:after="0" w:line="142" w:lineRule="exact"/>
              <w:rPr>
                <w:sz w:val="20"/>
                <w:szCs w:val="20"/>
                <w:color w:val="auto"/>
              </w:rPr>
            </w:pPr>
            <w:r>
              <w:rPr>
                <w:rFonts w:ascii="Times New Roman" w:cs="Times New Roman" w:eastAsia="Times New Roman" w:hAnsi="Times New Roman"/>
                <w:sz w:val="14"/>
                <w:szCs w:val="14"/>
                <w:b w:val="1"/>
                <w:bCs w:val="1"/>
                <w:color w:val="auto"/>
              </w:rPr>
              <w:t>2nd Qtr</w:t>
            </w:r>
          </w:p>
        </w:tc>
        <w:tc>
          <w:tcPr>
            <w:tcW w:w="780" w:type="dxa"/>
            <w:vAlign w:val="bottom"/>
          </w:tcPr>
          <w:p>
            <w:pPr>
              <w:jc w:val="right"/>
              <w:ind w:right="132"/>
              <w:spacing w:after="0" w:line="142" w:lineRule="exact"/>
              <w:rPr>
                <w:sz w:val="20"/>
                <w:szCs w:val="20"/>
                <w:color w:val="auto"/>
              </w:rPr>
            </w:pPr>
            <w:r>
              <w:rPr>
                <w:rFonts w:ascii="Times New Roman" w:cs="Times New Roman" w:eastAsia="Times New Roman" w:hAnsi="Times New Roman"/>
                <w:sz w:val="14"/>
                <w:szCs w:val="14"/>
                <w:b w:val="1"/>
                <w:bCs w:val="1"/>
                <w:color w:val="auto"/>
              </w:rPr>
              <w:t>3rd Qtr</w:t>
            </w:r>
          </w:p>
        </w:tc>
        <w:tc>
          <w:tcPr>
            <w:tcW w:w="100" w:type="dxa"/>
            <w:vAlign w:val="bottom"/>
          </w:tcPr>
          <w:p>
            <w:pPr>
              <w:spacing w:after="0"/>
              <w:rPr>
                <w:sz w:val="12"/>
                <w:szCs w:val="12"/>
                <w:color w:val="auto"/>
              </w:rPr>
            </w:pPr>
          </w:p>
        </w:tc>
        <w:tc>
          <w:tcPr>
            <w:tcW w:w="920" w:type="dxa"/>
            <w:vAlign w:val="bottom"/>
          </w:tcPr>
          <w:p>
            <w:pPr>
              <w:jc w:val="right"/>
              <w:ind w:right="235"/>
              <w:spacing w:after="0" w:line="142" w:lineRule="exact"/>
              <w:rPr>
                <w:sz w:val="20"/>
                <w:szCs w:val="20"/>
                <w:color w:val="auto"/>
              </w:rPr>
            </w:pPr>
            <w:r>
              <w:rPr>
                <w:rFonts w:ascii="Times New Roman" w:cs="Times New Roman" w:eastAsia="Times New Roman" w:hAnsi="Times New Roman"/>
                <w:sz w:val="14"/>
                <w:szCs w:val="14"/>
                <w:b w:val="1"/>
                <w:bCs w:val="1"/>
                <w:color w:val="auto"/>
              </w:rPr>
              <w:t>YTD</w:t>
            </w:r>
          </w:p>
        </w:tc>
        <w:tc>
          <w:tcPr>
            <w:tcW w:w="0" w:type="dxa"/>
            <w:vAlign w:val="bottom"/>
          </w:tcPr>
          <w:p>
            <w:pPr>
              <w:spacing w:after="0"/>
              <w:rPr>
                <w:sz w:val="1"/>
                <w:szCs w:val="1"/>
                <w:color w:val="auto"/>
              </w:rPr>
            </w:pPr>
          </w:p>
        </w:tc>
      </w:tr>
      <w:tr>
        <w:trPr>
          <w:trHeight w:val="191"/>
        </w:trPr>
        <w:tc>
          <w:tcPr>
            <w:tcW w:w="2240" w:type="dxa"/>
            <w:vAlign w:val="bottom"/>
            <w:shd w:val="clear" w:color="auto" w:fill="CCFFCC"/>
          </w:tcPr>
          <w:p>
            <w:pPr>
              <w:spacing w:after="0" w:line="191" w:lineRule="exact"/>
              <w:rPr>
                <w:sz w:val="20"/>
                <w:szCs w:val="20"/>
                <w:color w:val="auto"/>
              </w:rPr>
            </w:pPr>
            <w:r>
              <w:rPr>
                <w:rFonts w:ascii="Times New Roman" w:cs="Times New Roman" w:eastAsia="Times New Roman" w:hAnsi="Times New Roman"/>
                <w:sz w:val="18"/>
                <w:szCs w:val="18"/>
                <w:color w:val="auto"/>
              </w:rPr>
              <w:t>Shares purchased under</w:t>
            </w:r>
          </w:p>
        </w:tc>
        <w:tc>
          <w:tcPr>
            <w:tcW w:w="880" w:type="dxa"/>
            <w:vAlign w:val="bottom"/>
            <w:tcBorders>
              <w:top w:val="single" w:sz="8" w:color="auto"/>
            </w:tcBorders>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880" w:type="dxa"/>
            <w:vAlign w:val="bottom"/>
            <w:tcBorders>
              <w:top w:val="single" w:sz="8" w:color="auto"/>
            </w:tcBorders>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900" w:type="dxa"/>
            <w:vAlign w:val="bottom"/>
            <w:tcBorders>
              <w:top w:val="single" w:sz="8" w:color="auto"/>
            </w:tcBorders>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900" w:type="dxa"/>
            <w:vAlign w:val="bottom"/>
            <w:tcBorders>
              <w:top w:val="single" w:sz="8" w:color="auto"/>
            </w:tcBorders>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900" w:type="dxa"/>
            <w:vAlign w:val="bottom"/>
            <w:tcBorders>
              <w:top w:val="single" w:sz="8" w:color="auto"/>
            </w:tcBorders>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900" w:type="dxa"/>
            <w:vAlign w:val="bottom"/>
            <w:tcBorders>
              <w:top w:val="single" w:sz="8" w:color="auto"/>
            </w:tcBorders>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c>
          <w:tcPr>
            <w:tcW w:w="1000" w:type="dxa"/>
            <w:vAlign w:val="bottom"/>
            <w:tcBorders>
              <w:top w:val="single" w:sz="8" w:color="auto"/>
            </w:tcBorders>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120" w:type="dxa"/>
            <w:vAlign w:val="bottom"/>
            <w:tcBorders>
              <w:top w:val="single" w:sz="8" w:color="auto"/>
            </w:tcBorders>
            <w:shd w:val="clear" w:color="auto" w:fill="CCFFCC"/>
          </w:tcPr>
          <w:p>
            <w:pPr>
              <w:spacing w:after="0"/>
              <w:rPr>
                <w:sz w:val="16"/>
                <w:szCs w:val="16"/>
                <w:color w:val="auto"/>
              </w:rPr>
            </w:pPr>
          </w:p>
        </w:tc>
        <w:tc>
          <w:tcPr>
            <w:tcW w:w="780" w:type="dxa"/>
            <w:vAlign w:val="bottom"/>
            <w:tcBorders>
              <w:top w:val="single" w:sz="8" w:color="auto"/>
            </w:tcBorders>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920" w:type="dxa"/>
            <w:vAlign w:val="bottom"/>
            <w:tcBorders>
              <w:top w:val="single" w:sz="8" w:color="auto"/>
            </w:tcBorders>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2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publicly-announced buy-back</w:t>
            </w:r>
          </w:p>
        </w:tc>
        <w:tc>
          <w:tcPr>
            <w:tcW w:w="8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7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2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program</w:t>
            </w:r>
          </w:p>
        </w:tc>
        <w:tc>
          <w:tcPr>
            <w:tcW w:w="8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98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0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0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987</w:t>
            </w:r>
          </w:p>
        </w:tc>
        <w:tc>
          <w:tcPr>
            <w:tcW w:w="10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112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0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7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02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1,035</w:t>
            </w:r>
          </w:p>
        </w:tc>
        <w:tc>
          <w:tcPr>
            <w:tcW w:w="0" w:type="dxa"/>
            <w:vAlign w:val="bottom"/>
          </w:tcPr>
          <w:p>
            <w:pPr>
              <w:spacing w:after="0"/>
              <w:rPr>
                <w:sz w:val="1"/>
                <w:szCs w:val="1"/>
                <w:color w:val="auto"/>
              </w:rPr>
            </w:pPr>
          </w:p>
        </w:tc>
      </w:tr>
      <w:tr>
        <w:trPr>
          <w:trHeight w:val="198"/>
        </w:trPr>
        <w:tc>
          <w:tcPr>
            <w:tcW w:w="22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Shares withheld for taxes due</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upon vesting of restricted</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vMerge w:val="restart"/>
          </w:tcPr>
          <w:p>
            <w:pPr>
              <w:spacing w:after="0"/>
              <w:rPr>
                <w:sz w:val="18"/>
                <w:szCs w:val="18"/>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vMerge w:val="restart"/>
          </w:tcPr>
          <w:p>
            <w:pPr>
              <w:spacing w:after="0"/>
              <w:rPr>
                <w:sz w:val="18"/>
                <w:szCs w:val="18"/>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vMerge w:val="restart"/>
          </w:tcPr>
          <w:p>
            <w:pPr>
              <w:spacing w:after="0"/>
              <w:rPr>
                <w:sz w:val="18"/>
                <w:szCs w:val="18"/>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vMerge w:val="restart"/>
          </w:tcPr>
          <w:p>
            <w:pPr>
              <w:spacing w:after="0"/>
              <w:rPr>
                <w:sz w:val="18"/>
                <w:szCs w:val="18"/>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vMerge w:val="restart"/>
          </w:tcPr>
          <w:p>
            <w:pPr>
              <w:spacing w:after="0"/>
              <w:rPr>
                <w:sz w:val="18"/>
                <w:szCs w:val="18"/>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20" w:type="dxa"/>
            <w:vAlign w:val="bottom"/>
            <w:vMerge w:val="restart"/>
          </w:tcPr>
          <w:p>
            <w:pPr>
              <w:spacing w:after="0"/>
              <w:rPr>
                <w:sz w:val="18"/>
                <w:szCs w:val="18"/>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vMerge w:val="restart"/>
          </w:tcPr>
          <w:p>
            <w:pPr>
              <w:spacing w:after="0"/>
              <w:rPr>
                <w:sz w:val="18"/>
                <w:szCs w:val="18"/>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0" w:type="dxa"/>
            <w:vAlign w:val="bottom"/>
          </w:tcPr>
          <w:p>
            <w:pPr>
              <w:spacing w:after="0"/>
              <w:rPr>
                <w:sz w:val="1"/>
                <w:szCs w:val="1"/>
                <w:color w:val="auto"/>
              </w:rPr>
            </w:pPr>
          </w:p>
        </w:tc>
      </w:tr>
      <w:tr>
        <w:trPr>
          <w:trHeight w:val="221"/>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stock</w:t>
            </w:r>
          </w:p>
        </w:tc>
        <w:tc>
          <w:tcPr>
            <w:tcW w:w="880" w:type="dxa"/>
            <w:vAlign w:val="bottom"/>
            <w:tcBorders>
              <w:bottom w:val="single" w:sz="8" w:color="auto"/>
            </w:tcBorders>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22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Total shares purchased</w:t>
            </w:r>
          </w:p>
        </w:tc>
        <w:tc>
          <w:tcPr>
            <w:tcW w:w="8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98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10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0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0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1,165</w:t>
            </w:r>
          </w:p>
        </w:tc>
        <w:tc>
          <w:tcPr>
            <w:tcW w:w="10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112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0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7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02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1,225</w:t>
            </w:r>
          </w:p>
        </w:tc>
        <w:tc>
          <w:tcPr>
            <w:tcW w:w="0" w:type="dxa"/>
            <w:vAlign w:val="bottom"/>
          </w:tcPr>
          <w:p>
            <w:pPr>
              <w:spacing w:after="0"/>
              <w:rPr>
                <w:sz w:val="1"/>
                <w:szCs w:val="1"/>
                <w:color w:val="auto"/>
              </w:rPr>
            </w:pPr>
          </w:p>
        </w:tc>
      </w:tr>
      <w:tr>
        <w:trPr>
          <w:trHeight w:val="394"/>
        </w:trPr>
        <w:tc>
          <w:tcPr>
            <w:tcW w:w="2240" w:type="dxa"/>
            <w:vAlign w:val="bottom"/>
            <w:tcBorders>
              <w:top w:val="single" w:sz="8" w:color="CCFFCC"/>
            </w:tcBorders>
          </w:tcPr>
          <w:p>
            <w:pPr>
              <w:spacing w:after="0"/>
              <w:rPr>
                <w:sz w:val="20"/>
                <w:szCs w:val="20"/>
                <w:color w:val="auto"/>
              </w:rPr>
            </w:pPr>
            <w:r>
              <w:rPr>
                <w:rFonts w:ascii="Times New Roman" w:cs="Times New Roman" w:eastAsia="Times New Roman" w:hAnsi="Times New Roman"/>
                <w:sz w:val="18"/>
                <w:szCs w:val="18"/>
                <w:color w:val="auto"/>
              </w:rPr>
              <w:t>Total cash paid for shares</w:t>
            </w:r>
          </w:p>
        </w:tc>
        <w:tc>
          <w:tcPr>
            <w:tcW w:w="880" w:type="dxa"/>
            <w:vAlign w:val="bottom"/>
            <w:tcBorders>
              <w:top w:val="single" w:sz="8" w:color="auto"/>
            </w:tcBorders>
          </w:tcPr>
          <w:p>
            <w:pPr>
              <w:spacing w:after="0"/>
              <w:rPr>
                <w:sz w:val="24"/>
                <w:szCs w:val="24"/>
                <w:color w:val="auto"/>
              </w:rPr>
            </w:pPr>
          </w:p>
        </w:tc>
        <w:tc>
          <w:tcPr>
            <w:tcW w:w="100" w:type="dxa"/>
            <w:vAlign w:val="bottom"/>
            <w:tcBorders>
              <w:top w:val="single" w:sz="8" w:color="CCFFCC"/>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Borders>
              <w:top w:val="single" w:sz="8" w:color="CCFFCC"/>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Borders>
              <w:top w:val="single" w:sz="8" w:color="CCFFCC"/>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Borders>
              <w:top w:val="single" w:sz="8" w:color="CCFFCC"/>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Borders>
              <w:top w:val="single" w:sz="8" w:color="CCFFCC"/>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20" w:type="dxa"/>
            <w:vAlign w:val="bottom"/>
            <w:tcBorders>
              <w:top w:val="single" w:sz="8" w:color="CCFFCC"/>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Borders>
              <w:top w:val="single" w:sz="8" w:color="CCFFC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00" w:type="dxa"/>
            <w:vAlign w:val="bottom"/>
            <w:tcBorders>
              <w:top w:val="single" w:sz="8" w:color="CCFFCC"/>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purchased under publicly-</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announced buy-back program</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$73,411</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$74,999</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$49,687</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$43,539</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$241,636</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$49,596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$49,947</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$199,543</w:t>
            </w:r>
          </w:p>
        </w:tc>
        <w:tc>
          <w:tcPr>
            <w:tcW w:w="0" w:type="dxa"/>
            <w:vAlign w:val="bottom"/>
          </w:tcPr>
          <w:p>
            <w:pPr>
              <w:spacing w:after="0"/>
              <w:rPr>
                <w:sz w:val="1"/>
                <w:szCs w:val="1"/>
                <w:color w:val="auto"/>
              </w:rPr>
            </w:pPr>
          </w:p>
        </w:tc>
      </w:tr>
      <w:tr>
        <w:trPr>
          <w:trHeight w:val="198"/>
        </w:trPr>
        <w:tc>
          <w:tcPr>
            <w:tcW w:w="2240" w:type="dxa"/>
            <w:vAlign w:val="bottom"/>
            <w:shd w:val="clear" w:color="auto" w:fill="CCFFCC"/>
          </w:tcPr>
          <w:p>
            <w:pPr>
              <w:spacing w:after="0" w:line="198" w:lineRule="exact"/>
              <w:rPr>
                <w:sz w:val="20"/>
                <w:szCs w:val="20"/>
                <w:color w:val="auto"/>
              </w:rPr>
            </w:pPr>
            <w:r>
              <w:rPr>
                <w:rFonts w:ascii="Times New Roman" w:cs="Times New Roman" w:eastAsia="Times New Roman" w:hAnsi="Times New Roman"/>
                <w:sz w:val="18"/>
                <w:szCs w:val="18"/>
                <w:color w:val="auto"/>
              </w:rPr>
              <w:t>Total cash paid for shares</w:t>
            </w:r>
          </w:p>
        </w:tc>
        <w:tc>
          <w:tcPr>
            <w:tcW w:w="8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9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9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9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90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0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7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92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withheld for taxes due upon</w:t>
            </w:r>
          </w:p>
        </w:tc>
        <w:tc>
          <w:tcPr>
            <w:tcW w:w="8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7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2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vesting of restricted stock</w:t>
            </w:r>
          </w:p>
        </w:tc>
        <w:tc>
          <w:tcPr>
            <w:tcW w:w="8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40,423</w:t>
            </w:r>
          </w:p>
        </w:tc>
        <w:tc>
          <w:tcPr>
            <w:tcW w:w="98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713</w:t>
            </w:r>
          </w:p>
        </w:tc>
        <w:tc>
          <w:tcPr>
            <w:tcW w:w="10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1,917</w:t>
            </w:r>
          </w:p>
        </w:tc>
        <w:tc>
          <w:tcPr>
            <w:tcW w:w="10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10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43,622</w:t>
            </w:r>
          </w:p>
        </w:tc>
        <w:tc>
          <w:tcPr>
            <w:tcW w:w="10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36,447</w:t>
            </w:r>
          </w:p>
        </w:tc>
        <w:tc>
          <w:tcPr>
            <w:tcW w:w="112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10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7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1,602</w:t>
            </w:r>
          </w:p>
        </w:tc>
        <w:tc>
          <w:tcPr>
            <w:tcW w:w="102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38,644</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Total cash paid for excise tax</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1,108</w:t>
            </w:r>
          </w:p>
        </w:tc>
        <w:tc>
          <w:tcPr>
            <w:tcW w:w="10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1,108</w:t>
            </w:r>
          </w:p>
        </w:tc>
        <w:tc>
          <w:tcPr>
            <w:tcW w:w="10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1"/>
        </w:trPr>
        <w:tc>
          <w:tcPr>
            <w:tcW w:w="2240" w:type="dxa"/>
            <w:vAlign w:val="bottom"/>
            <w:shd w:val="clear" w:color="auto" w:fill="CCFFCC"/>
          </w:tcPr>
          <w:p>
            <w:pPr>
              <w:spacing w:after="0" w:line="191" w:lineRule="exact"/>
              <w:rPr>
                <w:sz w:val="20"/>
                <w:szCs w:val="20"/>
                <w:color w:val="auto"/>
              </w:rPr>
            </w:pPr>
            <w:r>
              <w:rPr>
                <w:rFonts w:ascii="Times New Roman" w:cs="Times New Roman" w:eastAsia="Times New Roman" w:hAnsi="Times New Roman"/>
                <w:sz w:val="18"/>
                <w:szCs w:val="18"/>
                <w:color w:val="auto"/>
              </w:rPr>
              <w:t>Total cash paid for shares</w:t>
            </w:r>
          </w:p>
        </w:tc>
        <w:tc>
          <w:tcPr>
            <w:tcW w:w="880" w:type="dxa"/>
            <w:vAlign w:val="bottom"/>
            <w:vMerge w:val="restart"/>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$113,834</w:t>
            </w:r>
          </w:p>
        </w:tc>
        <w:tc>
          <w:tcPr>
            <w:tcW w:w="100" w:type="dxa"/>
            <w:vAlign w:val="bottom"/>
            <w:vMerge w:val="restart"/>
            <w:shd w:val="clear" w:color="auto" w:fill="CCFFCC"/>
          </w:tcPr>
          <w:p>
            <w:pPr>
              <w:spacing w:after="0"/>
              <w:rPr>
                <w:sz w:val="16"/>
                <w:szCs w:val="16"/>
                <w:color w:val="auto"/>
              </w:rPr>
            </w:pPr>
          </w:p>
        </w:tc>
        <w:tc>
          <w:tcPr>
            <w:tcW w:w="880" w:type="dxa"/>
            <w:vAlign w:val="bottom"/>
            <w:vMerge w:val="restart"/>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$75,712</w:t>
            </w:r>
          </w:p>
        </w:tc>
        <w:tc>
          <w:tcPr>
            <w:tcW w:w="100" w:type="dxa"/>
            <w:vAlign w:val="bottom"/>
            <w:vMerge w:val="restart"/>
            <w:shd w:val="clear" w:color="auto" w:fill="CCFFCC"/>
          </w:tcPr>
          <w:p>
            <w:pPr>
              <w:spacing w:after="0"/>
              <w:rPr>
                <w:sz w:val="16"/>
                <w:szCs w:val="16"/>
                <w:color w:val="auto"/>
              </w:rPr>
            </w:pPr>
          </w:p>
        </w:tc>
        <w:tc>
          <w:tcPr>
            <w:tcW w:w="900" w:type="dxa"/>
            <w:vAlign w:val="bottom"/>
            <w:vMerge w:val="restart"/>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$51,604</w:t>
            </w:r>
          </w:p>
        </w:tc>
        <w:tc>
          <w:tcPr>
            <w:tcW w:w="100" w:type="dxa"/>
            <w:vAlign w:val="bottom"/>
            <w:vMerge w:val="restart"/>
            <w:shd w:val="clear" w:color="auto" w:fill="CCFFCC"/>
          </w:tcPr>
          <w:p>
            <w:pPr>
              <w:spacing w:after="0"/>
              <w:rPr>
                <w:sz w:val="16"/>
                <w:szCs w:val="16"/>
                <w:color w:val="auto"/>
              </w:rPr>
            </w:pPr>
          </w:p>
        </w:tc>
        <w:tc>
          <w:tcPr>
            <w:tcW w:w="900" w:type="dxa"/>
            <w:vAlign w:val="bottom"/>
            <w:vMerge w:val="restart"/>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$45,216</w:t>
            </w:r>
          </w:p>
        </w:tc>
        <w:tc>
          <w:tcPr>
            <w:tcW w:w="100" w:type="dxa"/>
            <w:vAlign w:val="bottom"/>
            <w:vMerge w:val="restart"/>
            <w:shd w:val="clear" w:color="auto" w:fill="CCFFCC"/>
          </w:tcPr>
          <w:p>
            <w:pPr>
              <w:spacing w:after="0"/>
              <w:rPr>
                <w:sz w:val="16"/>
                <w:szCs w:val="16"/>
                <w:color w:val="auto"/>
              </w:rPr>
            </w:pPr>
          </w:p>
        </w:tc>
        <w:tc>
          <w:tcPr>
            <w:tcW w:w="900" w:type="dxa"/>
            <w:vAlign w:val="bottom"/>
            <w:vMerge w:val="restart"/>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$286,366</w:t>
            </w:r>
          </w:p>
        </w:tc>
        <w:tc>
          <w:tcPr>
            <w:tcW w:w="100" w:type="dxa"/>
            <w:vAlign w:val="bottom"/>
            <w:vMerge w:val="restart"/>
            <w:shd w:val="clear" w:color="auto" w:fill="CCFFCC"/>
          </w:tcPr>
          <w:p>
            <w:pPr>
              <w:spacing w:after="0"/>
              <w:rPr>
                <w:sz w:val="16"/>
                <w:szCs w:val="16"/>
                <w:color w:val="auto"/>
              </w:rPr>
            </w:pPr>
          </w:p>
        </w:tc>
        <w:tc>
          <w:tcPr>
            <w:tcW w:w="900" w:type="dxa"/>
            <w:vAlign w:val="bottom"/>
            <w:vMerge w:val="restart"/>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$136,447</w:t>
            </w:r>
          </w:p>
        </w:tc>
        <w:tc>
          <w:tcPr>
            <w:tcW w:w="120" w:type="dxa"/>
            <w:vAlign w:val="bottom"/>
            <w:vMerge w:val="restart"/>
            <w:shd w:val="clear" w:color="auto" w:fill="CCFFCC"/>
          </w:tcPr>
          <w:p>
            <w:pPr>
              <w:spacing w:after="0"/>
              <w:rPr>
                <w:sz w:val="16"/>
                <w:szCs w:val="16"/>
                <w:color w:val="auto"/>
              </w:rPr>
            </w:pPr>
          </w:p>
        </w:tc>
        <w:tc>
          <w:tcPr>
            <w:tcW w:w="1000" w:type="dxa"/>
            <w:vAlign w:val="bottom"/>
            <w:vMerge w:val="restart"/>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$50,191</w:t>
            </w:r>
          </w:p>
        </w:tc>
        <w:tc>
          <w:tcPr>
            <w:tcW w:w="100" w:type="dxa"/>
            <w:vAlign w:val="bottom"/>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c>
          <w:tcPr>
            <w:tcW w:w="780" w:type="dxa"/>
            <w:vAlign w:val="bottom"/>
            <w:vMerge w:val="restart"/>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$51,549</w:t>
            </w:r>
          </w:p>
        </w:tc>
        <w:tc>
          <w:tcPr>
            <w:tcW w:w="100" w:type="dxa"/>
            <w:vAlign w:val="bottom"/>
            <w:vMerge w:val="restart"/>
            <w:shd w:val="clear" w:color="auto" w:fill="CCFFCC"/>
          </w:tcPr>
          <w:p>
            <w:pPr>
              <w:spacing w:after="0"/>
              <w:rPr>
                <w:sz w:val="16"/>
                <w:szCs w:val="16"/>
                <w:color w:val="auto"/>
              </w:rPr>
            </w:pPr>
          </w:p>
        </w:tc>
        <w:tc>
          <w:tcPr>
            <w:tcW w:w="920" w:type="dxa"/>
            <w:vAlign w:val="bottom"/>
            <w:vMerge w:val="restart"/>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$238,187</w:t>
            </w:r>
          </w:p>
        </w:tc>
        <w:tc>
          <w:tcPr>
            <w:tcW w:w="0" w:type="dxa"/>
            <w:vAlign w:val="bottom"/>
          </w:tcPr>
          <w:p>
            <w:pPr>
              <w:spacing w:after="0"/>
              <w:rPr>
                <w:sz w:val="1"/>
                <w:szCs w:val="1"/>
                <w:color w:val="auto"/>
              </w:rPr>
            </w:pPr>
          </w:p>
        </w:tc>
      </w:tr>
      <w:tr>
        <w:trPr>
          <w:trHeight w:val="234"/>
        </w:trPr>
        <w:tc>
          <w:tcPr>
            <w:tcW w:w="2240" w:type="dxa"/>
            <w:vAlign w:val="bottom"/>
            <w:tcBorders>
              <w:bottom w:val="single" w:sz="8" w:color="CCFFCC"/>
            </w:tcBorders>
            <w:shd w:val="clear" w:color="auto" w:fill="CCFFCC"/>
          </w:tcPr>
          <w:p>
            <w:pPr>
              <w:spacing w:after="0" w:line="194" w:lineRule="exact"/>
              <w:rPr>
                <w:sz w:val="20"/>
                <w:szCs w:val="20"/>
                <w:color w:val="auto"/>
              </w:rPr>
            </w:pPr>
            <w:r>
              <w:rPr>
                <w:rFonts w:ascii="Times New Roman" w:cs="Times New Roman" w:eastAsia="Times New Roman" w:hAnsi="Times New Roman"/>
                <w:sz w:val="18"/>
                <w:szCs w:val="18"/>
                <w:color w:val="auto"/>
              </w:rPr>
              <w:t>repurchased</w:t>
            </w:r>
          </w:p>
        </w:tc>
        <w:tc>
          <w:tcPr>
            <w:tcW w:w="880" w:type="dxa"/>
            <w:vAlign w:val="bottom"/>
            <w:tcBorders>
              <w:bottom w:val="single" w:sz="8" w:color="auto"/>
            </w:tcBorders>
            <w:vMerge w:val="continue"/>
            <w:shd w:val="clear" w:color="auto" w:fill="CCFFCC"/>
          </w:tcPr>
          <w:p>
            <w:pPr>
              <w:spacing w:after="0"/>
              <w:rPr>
                <w:sz w:val="20"/>
                <w:szCs w:val="20"/>
                <w:color w:val="auto"/>
              </w:rPr>
            </w:pPr>
          </w:p>
        </w:tc>
        <w:tc>
          <w:tcPr>
            <w:tcW w:w="100" w:type="dxa"/>
            <w:vAlign w:val="bottom"/>
            <w:tcBorders>
              <w:bottom w:val="single" w:sz="8" w:color="CCFFCC"/>
            </w:tcBorders>
            <w:vMerge w:val="continue"/>
            <w:shd w:val="clear" w:color="auto" w:fill="CCFFCC"/>
          </w:tcPr>
          <w:p>
            <w:pPr>
              <w:spacing w:after="0"/>
              <w:rPr>
                <w:sz w:val="20"/>
                <w:szCs w:val="20"/>
                <w:color w:val="auto"/>
              </w:rPr>
            </w:pPr>
          </w:p>
        </w:tc>
        <w:tc>
          <w:tcPr>
            <w:tcW w:w="880" w:type="dxa"/>
            <w:vAlign w:val="bottom"/>
            <w:tcBorders>
              <w:bottom w:val="single" w:sz="8" w:color="auto"/>
            </w:tcBorders>
            <w:vMerge w:val="continue"/>
            <w:shd w:val="clear" w:color="auto" w:fill="CCFFCC"/>
          </w:tcPr>
          <w:p>
            <w:pPr>
              <w:spacing w:after="0"/>
              <w:rPr>
                <w:sz w:val="20"/>
                <w:szCs w:val="20"/>
                <w:color w:val="auto"/>
              </w:rPr>
            </w:pPr>
          </w:p>
        </w:tc>
        <w:tc>
          <w:tcPr>
            <w:tcW w:w="100" w:type="dxa"/>
            <w:vAlign w:val="bottom"/>
            <w:tcBorders>
              <w:bottom w:val="single" w:sz="8" w:color="CCFFCC"/>
            </w:tcBorders>
            <w:vMerge w:val="continue"/>
            <w:shd w:val="clear" w:color="auto" w:fill="CCFFCC"/>
          </w:tcPr>
          <w:p>
            <w:pPr>
              <w:spacing w:after="0"/>
              <w:rPr>
                <w:sz w:val="20"/>
                <w:szCs w:val="20"/>
                <w:color w:val="auto"/>
              </w:rPr>
            </w:pPr>
          </w:p>
        </w:tc>
        <w:tc>
          <w:tcPr>
            <w:tcW w:w="900" w:type="dxa"/>
            <w:vAlign w:val="bottom"/>
            <w:tcBorders>
              <w:bottom w:val="single" w:sz="8" w:color="auto"/>
            </w:tcBorders>
            <w:vMerge w:val="continue"/>
            <w:shd w:val="clear" w:color="auto" w:fill="CCFFCC"/>
          </w:tcPr>
          <w:p>
            <w:pPr>
              <w:spacing w:after="0"/>
              <w:rPr>
                <w:sz w:val="20"/>
                <w:szCs w:val="20"/>
                <w:color w:val="auto"/>
              </w:rPr>
            </w:pPr>
          </w:p>
        </w:tc>
        <w:tc>
          <w:tcPr>
            <w:tcW w:w="100" w:type="dxa"/>
            <w:vAlign w:val="bottom"/>
            <w:tcBorders>
              <w:bottom w:val="single" w:sz="8" w:color="CCFFCC"/>
            </w:tcBorders>
            <w:vMerge w:val="continue"/>
            <w:shd w:val="clear" w:color="auto" w:fill="CCFFCC"/>
          </w:tcPr>
          <w:p>
            <w:pPr>
              <w:spacing w:after="0"/>
              <w:rPr>
                <w:sz w:val="20"/>
                <w:szCs w:val="20"/>
                <w:color w:val="auto"/>
              </w:rPr>
            </w:pPr>
          </w:p>
        </w:tc>
        <w:tc>
          <w:tcPr>
            <w:tcW w:w="900" w:type="dxa"/>
            <w:vAlign w:val="bottom"/>
            <w:tcBorders>
              <w:bottom w:val="single" w:sz="8" w:color="auto"/>
            </w:tcBorders>
            <w:vMerge w:val="continue"/>
            <w:shd w:val="clear" w:color="auto" w:fill="CCFFCC"/>
          </w:tcPr>
          <w:p>
            <w:pPr>
              <w:spacing w:after="0"/>
              <w:rPr>
                <w:sz w:val="20"/>
                <w:szCs w:val="20"/>
                <w:color w:val="auto"/>
              </w:rPr>
            </w:pPr>
          </w:p>
        </w:tc>
        <w:tc>
          <w:tcPr>
            <w:tcW w:w="100" w:type="dxa"/>
            <w:vAlign w:val="bottom"/>
            <w:tcBorders>
              <w:bottom w:val="single" w:sz="8" w:color="CCFFCC"/>
            </w:tcBorders>
            <w:vMerge w:val="continue"/>
            <w:shd w:val="clear" w:color="auto" w:fill="CCFFCC"/>
          </w:tcPr>
          <w:p>
            <w:pPr>
              <w:spacing w:after="0"/>
              <w:rPr>
                <w:sz w:val="20"/>
                <w:szCs w:val="20"/>
                <w:color w:val="auto"/>
              </w:rPr>
            </w:pPr>
          </w:p>
        </w:tc>
        <w:tc>
          <w:tcPr>
            <w:tcW w:w="900" w:type="dxa"/>
            <w:vAlign w:val="bottom"/>
            <w:tcBorders>
              <w:bottom w:val="single" w:sz="8" w:color="auto"/>
            </w:tcBorders>
            <w:vMerge w:val="continue"/>
            <w:shd w:val="clear" w:color="auto" w:fill="CCFFCC"/>
          </w:tcPr>
          <w:p>
            <w:pPr>
              <w:spacing w:after="0"/>
              <w:rPr>
                <w:sz w:val="20"/>
                <w:szCs w:val="20"/>
                <w:color w:val="auto"/>
              </w:rPr>
            </w:pPr>
          </w:p>
        </w:tc>
        <w:tc>
          <w:tcPr>
            <w:tcW w:w="100" w:type="dxa"/>
            <w:vAlign w:val="bottom"/>
            <w:tcBorders>
              <w:bottom w:val="single" w:sz="8" w:color="CCFFCC"/>
            </w:tcBorders>
            <w:vMerge w:val="continue"/>
            <w:shd w:val="clear" w:color="auto" w:fill="CCFFCC"/>
          </w:tcPr>
          <w:p>
            <w:pPr>
              <w:spacing w:after="0"/>
              <w:rPr>
                <w:sz w:val="20"/>
                <w:szCs w:val="20"/>
                <w:color w:val="auto"/>
              </w:rPr>
            </w:pPr>
          </w:p>
        </w:tc>
        <w:tc>
          <w:tcPr>
            <w:tcW w:w="900" w:type="dxa"/>
            <w:vAlign w:val="bottom"/>
            <w:tcBorders>
              <w:bottom w:val="single" w:sz="8" w:color="auto"/>
            </w:tcBorders>
            <w:vMerge w:val="continue"/>
            <w:shd w:val="clear" w:color="auto" w:fill="CCFFCC"/>
          </w:tcPr>
          <w:p>
            <w:pPr>
              <w:spacing w:after="0"/>
              <w:rPr>
                <w:sz w:val="20"/>
                <w:szCs w:val="20"/>
                <w:color w:val="auto"/>
              </w:rPr>
            </w:pPr>
          </w:p>
        </w:tc>
        <w:tc>
          <w:tcPr>
            <w:tcW w:w="120" w:type="dxa"/>
            <w:vAlign w:val="bottom"/>
            <w:tcBorders>
              <w:bottom w:val="single" w:sz="8" w:color="CCFFCC"/>
            </w:tcBorders>
            <w:vMerge w:val="continue"/>
            <w:shd w:val="clear" w:color="auto" w:fill="CCFFCC"/>
          </w:tcPr>
          <w:p>
            <w:pPr>
              <w:spacing w:after="0"/>
              <w:rPr>
                <w:sz w:val="20"/>
                <w:szCs w:val="20"/>
                <w:color w:val="auto"/>
              </w:rPr>
            </w:pPr>
          </w:p>
        </w:tc>
        <w:tc>
          <w:tcPr>
            <w:tcW w:w="1000" w:type="dxa"/>
            <w:vAlign w:val="bottom"/>
            <w:tcBorders>
              <w:bottom w:val="single" w:sz="8" w:color="auto"/>
            </w:tcBorders>
            <w:vMerge w:val="continue"/>
            <w:shd w:val="clear" w:color="auto" w:fill="CCFFCC"/>
          </w:tcPr>
          <w:p>
            <w:pPr>
              <w:spacing w:after="0"/>
              <w:rPr>
                <w:sz w:val="20"/>
                <w:szCs w:val="20"/>
                <w:color w:val="auto"/>
              </w:rPr>
            </w:pPr>
          </w:p>
        </w:tc>
        <w:tc>
          <w:tcPr>
            <w:tcW w:w="100" w:type="dxa"/>
            <w:vAlign w:val="bottom"/>
            <w:tcBorders>
              <w:bottom w:val="single" w:sz="8" w:color="CCFFCC"/>
            </w:tcBorders>
            <w:shd w:val="clear" w:color="auto" w:fill="CCFFCC"/>
          </w:tcPr>
          <w:p>
            <w:pPr>
              <w:spacing w:after="0"/>
              <w:rPr>
                <w:sz w:val="20"/>
                <w:szCs w:val="20"/>
                <w:color w:val="auto"/>
              </w:rPr>
            </w:pPr>
          </w:p>
        </w:tc>
        <w:tc>
          <w:tcPr>
            <w:tcW w:w="120" w:type="dxa"/>
            <w:vAlign w:val="bottom"/>
            <w:tcBorders>
              <w:bottom w:val="single" w:sz="8" w:color="auto"/>
            </w:tcBorders>
            <w:shd w:val="clear" w:color="auto" w:fill="CCFFCC"/>
          </w:tcPr>
          <w:p>
            <w:pPr>
              <w:spacing w:after="0"/>
              <w:rPr>
                <w:sz w:val="20"/>
                <w:szCs w:val="20"/>
                <w:color w:val="auto"/>
              </w:rPr>
            </w:pPr>
          </w:p>
        </w:tc>
        <w:tc>
          <w:tcPr>
            <w:tcW w:w="780" w:type="dxa"/>
            <w:vAlign w:val="bottom"/>
            <w:tcBorders>
              <w:bottom w:val="single" w:sz="8" w:color="auto"/>
            </w:tcBorders>
            <w:vMerge w:val="continue"/>
            <w:shd w:val="clear" w:color="auto" w:fill="CCFFCC"/>
          </w:tcPr>
          <w:p>
            <w:pPr>
              <w:spacing w:after="0"/>
              <w:rPr>
                <w:sz w:val="20"/>
                <w:szCs w:val="20"/>
                <w:color w:val="auto"/>
              </w:rPr>
            </w:pPr>
          </w:p>
        </w:tc>
        <w:tc>
          <w:tcPr>
            <w:tcW w:w="100" w:type="dxa"/>
            <w:vAlign w:val="bottom"/>
            <w:tcBorders>
              <w:bottom w:val="single" w:sz="8" w:color="CCFFCC"/>
            </w:tcBorders>
            <w:vMerge w:val="continue"/>
            <w:shd w:val="clear" w:color="auto" w:fill="CCFFCC"/>
          </w:tcPr>
          <w:p>
            <w:pPr>
              <w:spacing w:after="0"/>
              <w:rPr>
                <w:sz w:val="20"/>
                <w:szCs w:val="20"/>
                <w:color w:val="auto"/>
              </w:rPr>
            </w:pPr>
          </w:p>
        </w:tc>
        <w:tc>
          <w:tcPr>
            <w:tcW w:w="920" w:type="dxa"/>
            <w:vAlign w:val="bottom"/>
            <w:tcBorders>
              <w:bottom w:val="single" w:sz="8" w:color="auto"/>
            </w:tcBorders>
            <w:vMerge w:val="continue"/>
            <w:shd w:val="clear" w:color="auto" w:fill="CCFFC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1976755</wp:posOffset>
            </wp:positionH>
            <wp:positionV relativeFrom="paragraph">
              <wp:posOffset>-1405255</wp:posOffset>
            </wp:positionV>
            <wp:extent cx="685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-1388110</wp:posOffset>
            </wp:positionV>
            <wp:extent cx="685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2602230</wp:posOffset>
            </wp:positionH>
            <wp:positionV relativeFrom="paragraph">
              <wp:posOffset>-1405255</wp:posOffset>
            </wp:positionV>
            <wp:extent cx="685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2602230</wp:posOffset>
            </wp:positionH>
            <wp:positionV relativeFrom="paragraph">
              <wp:posOffset>-1388110</wp:posOffset>
            </wp:positionV>
            <wp:extent cx="685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3236595</wp:posOffset>
            </wp:positionH>
            <wp:positionV relativeFrom="paragraph">
              <wp:posOffset>-1405255</wp:posOffset>
            </wp:positionV>
            <wp:extent cx="68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3236595</wp:posOffset>
            </wp:positionH>
            <wp:positionV relativeFrom="paragraph">
              <wp:posOffset>-1388110</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-1405255</wp:posOffset>
            </wp:positionV>
            <wp:extent cx="685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-1388110</wp:posOffset>
            </wp:positionV>
            <wp:extent cx="685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-1405255</wp:posOffset>
            </wp:positionV>
            <wp:extent cx="685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-1388110</wp:posOffset>
            </wp:positionV>
            <wp:extent cx="685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-1405255</wp:posOffset>
            </wp:positionV>
            <wp:extent cx="7683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-1388110</wp:posOffset>
            </wp:positionV>
            <wp:extent cx="7683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-1405255</wp:posOffset>
            </wp:positionV>
            <wp:extent cx="685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-1388110</wp:posOffset>
            </wp:positionV>
            <wp:extent cx="685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-1405255</wp:posOffset>
            </wp:positionV>
            <wp:extent cx="685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-1388110</wp:posOffset>
            </wp:positionV>
            <wp:extent cx="685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-24765</wp:posOffset>
            </wp:positionV>
            <wp:extent cx="6858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-7620</wp:posOffset>
            </wp:positionV>
            <wp:extent cx="685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2602230</wp:posOffset>
            </wp:positionH>
            <wp:positionV relativeFrom="paragraph">
              <wp:posOffset>-24765</wp:posOffset>
            </wp:positionV>
            <wp:extent cx="6858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2602230</wp:posOffset>
            </wp:positionH>
            <wp:positionV relativeFrom="paragraph">
              <wp:posOffset>-7620</wp:posOffset>
            </wp:positionV>
            <wp:extent cx="6858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3236595</wp:posOffset>
            </wp:positionH>
            <wp:positionV relativeFrom="paragraph">
              <wp:posOffset>-24765</wp:posOffset>
            </wp:positionV>
            <wp:extent cx="6858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3236595</wp:posOffset>
            </wp:positionH>
            <wp:positionV relativeFrom="paragraph">
              <wp:posOffset>-7620</wp:posOffset>
            </wp:positionV>
            <wp:extent cx="685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-24765</wp:posOffset>
            </wp:positionV>
            <wp:extent cx="6858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-7620</wp:posOffset>
            </wp:positionV>
            <wp:extent cx="685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-24765</wp:posOffset>
            </wp:positionV>
            <wp:extent cx="6858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-7620</wp:posOffset>
            </wp:positionV>
            <wp:extent cx="6858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-24765</wp:posOffset>
            </wp:positionV>
            <wp:extent cx="7683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-7620</wp:posOffset>
            </wp:positionV>
            <wp:extent cx="7683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-24765</wp:posOffset>
            </wp:positionV>
            <wp:extent cx="6858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-7620</wp:posOffset>
            </wp:positionV>
            <wp:extent cx="6858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-24765</wp:posOffset>
            </wp:positionV>
            <wp:extent cx="685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-7620</wp:posOffset>
            </wp:positionV>
            <wp:extent cx="6858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2" w:lineRule="exact"/>
        <w:rPr>
          <w:sz w:val="20"/>
          <w:szCs w:val="20"/>
          <w:color w:val="auto"/>
        </w:rPr>
      </w:pPr>
    </w:p>
    <w:p>
      <w:pPr>
        <w:ind w:left="360" w:hanging="352"/>
        <w:spacing w:after="0"/>
        <w:tabs>
          <w:tab w:leader="none" w:pos="36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Remaining Performance Obligations</w:t>
      </w:r>
    </w:p>
    <w:p>
      <w:pPr>
        <w:spacing w:after="0" w:line="12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We disclose revenue that we expect to recognize from our remaining performance obligations ("RPO"). Over 98% of our RPO represents cloud native subscriptions with non-cancelable terms greater than one year (including cloud-deferred revenue as well as amounts we will invoice and recognize as revenue from our performance of cloud services in future periods). Maintenance contracts are typically one year and not included in the RPO. Our RPO as of the end of each period appears below (in thousands):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00" w:type="dxa"/>
            <w:vAlign w:val="bottom"/>
          </w:tcPr>
          <w:p>
            <w:pPr>
              <w:spacing w:after="0"/>
              <w:rPr>
                <w:sz w:val="13"/>
                <w:szCs w:val="13"/>
                <w:color w:val="auto"/>
              </w:rPr>
            </w:pPr>
          </w:p>
        </w:tc>
        <w:tc>
          <w:tcPr>
            <w:tcW w:w="1140" w:type="dxa"/>
            <w:vAlign w:val="bottom"/>
            <w:vMerge w:val="restart"/>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20" w:type="dxa"/>
            <w:vAlign w:val="bottom"/>
          </w:tcPr>
          <w:p>
            <w:pPr>
              <w:spacing w:after="0"/>
              <w:rPr>
                <w:sz w:val="13"/>
                <w:szCs w:val="13"/>
                <w:color w:val="auto"/>
              </w:rPr>
            </w:pPr>
          </w:p>
        </w:tc>
        <w:tc>
          <w:tcPr>
            <w:tcW w:w="114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00" w:type="dxa"/>
            <w:vAlign w:val="bottom"/>
          </w:tcPr>
          <w:p>
            <w:pPr>
              <w:spacing w:after="0"/>
              <w:rPr>
                <w:sz w:val="13"/>
                <w:szCs w:val="13"/>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3"/>
                <w:szCs w:val="13"/>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3"/>
                <w:szCs w:val="13"/>
                <w:color w:val="auto"/>
              </w:rPr>
            </w:pPr>
          </w:p>
        </w:tc>
        <w:tc>
          <w:tcPr>
            <w:tcW w:w="11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20" w:type="dxa"/>
            <w:vAlign w:val="bottom"/>
          </w:tcPr>
          <w:p>
            <w:pPr>
              <w:spacing w:after="0"/>
              <w:rPr>
                <w:sz w:val="13"/>
                <w:szCs w:val="13"/>
                <w:color w:val="auto"/>
              </w:rPr>
            </w:pPr>
          </w:p>
        </w:tc>
        <w:tc>
          <w:tcPr>
            <w:tcW w:w="110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00" w:type="dxa"/>
            <w:vAlign w:val="bottom"/>
          </w:tcPr>
          <w:p>
            <w:pPr>
              <w:spacing w:after="0"/>
              <w:rPr>
                <w:sz w:val="13"/>
                <w:szCs w:val="13"/>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73"/>
        </w:trPr>
        <w:tc>
          <w:tcPr>
            <w:tcW w:w="2700" w:type="dxa"/>
            <w:vAlign w:val="bottom"/>
          </w:tcPr>
          <w:p>
            <w:pPr>
              <w:spacing w:after="0"/>
              <w:rPr>
                <w:sz w:val="15"/>
                <w:szCs w:val="15"/>
                <w:color w:val="auto"/>
              </w:rPr>
            </w:pPr>
          </w:p>
        </w:tc>
        <w:tc>
          <w:tcPr>
            <w:tcW w:w="114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c>
          <w:tcPr>
            <w:tcW w:w="112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112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10"/>
        </w:trPr>
        <w:tc>
          <w:tcPr>
            <w:tcW w:w="2700" w:type="dxa"/>
            <w:vAlign w:val="bottom"/>
            <w:shd w:val="clear" w:color="auto" w:fill="CCFFCC"/>
          </w:tcPr>
          <w:p>
            <w:pPr>
              <w:ind w:left="40"/>
              <w:spacing w:after="0"/>
              <w:rPr>
                <w:sz w:val="20"/>
                <w:szCs w:val="20"/>
                <w:color w:val="auto"/>
              </w:rPr>
            </w:pPr>
            <w:r>
              <w:rPr>
                <w:rFonts w:ascii="Times New Roman" w:cs="Times New Roman" w:eastAsia="Times New Roman" w:hAnsi="Times New Roman"/>
                <w:sz w:val="18"/>
                <w:szCs w:val="18"/>
                <w:color w:val="auto"/>
                <w:w w:val="99"/>
              </w:rPr>
              <w:t>Remaining Performance Obligations</w:t>
            </w:r>
          </w:p>
        </w:tc>
        <w:tc>
          <w:tcPr>
            <w:tcW w:w="11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$1,516,430</w:t>
            </w:r>
          </w:p>
        </w:tc>
        <w:tc>
          <w:tcPr>
            <w:tcW w:w="126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$1,601,531</w:t>
            </w:r>
          </w:p>
        </w:tc>
        <w:tc>
          <w:tcPr>
            <w:tcW w:w="122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$1,686,421</w:t>
            </w:r>
          </w:p>
        </w:tc>
        <w:tc>
          <w:tcPr>
            <w:tcW w:w="124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$1,780,400</w:t>
            </w:r>
          </w:p>
        </w:tc>
        <w:tc>
          <w:tcPr>
            <w:tcW w:w="122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$1,891,384</w:t>
            </w:r>
          </w:p>
        </w:tc>
        <w:tc>
          <w:tcPr>
            <w:tcW w:w="122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$2,013,495</w:t>
            </w:r>
          </w:p>
        </w:tc>
        <w:tc>
          <w:tcPr>
            <w:tcW w:w="124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$2,076,628</w:t>
            </w:r>
          </w:p>
        </w:tc>
        <w:tc>
          <w:tcPr>
            <w:tcW w:w="0" w:type="dxa"/>
            <w:vAlign w:val="bottom"/>
          </w:tcPr>
          <w:p>
            <w:pPr>
              <w:spacing w:after="0"/>
              <w:rPr>
                <w:sz w:val="1"/>
                <w:szCs w:val="1"/>
                <w:color w:val="auto"/>
              </w:rPr>
            </w:pPr>
          </w:p>
        </w:tc>
      </w:tr>
      <w:tr>
        <w:trPr>
          <w:trHeight w:val="1465"/>
        </w:trPr>
        <w:tc>
          <w:tcPr>
            <w:tcW w:w="270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8" w:name="page19"/>
    <w:bookmarkEnd w:id="1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1)"/>
      <w:numFmt w:val="lowerLetter"/>
      <w:start w:val="4"/>
    </w:lvl>
  </w:abstractNum>
  <w:abstractNum w:abstractNumId="3">
    <w:nsid w:val="140E0F76"/>
    <w:multiLevelType w:val="hybridMultilevel"/>
    <w:lvl w:ilvl="0">
      <w:lvlJc w:val="left"/>
      <w:lvlText w:val="•"/>
      <w:numFmt w:val="bullet"/>
      <w:start w:val="1"/>
    </w:lvl>
  </w:abstractNum>
  <w:abstractNum w:abstractNumId="4">
    <w:nsid w:val="3352255A"/>
    <w:multiLevelType w:val="hybridMultilevel"/>
    <w:lvl w:ilvl="0">
      <w:lvlJc w:val="left"/>
      <w:lvlText w:val="o"/>
      <w:numFmt w:val="bullet"/>
      <w:start w:val="1"/>
    </w:lvl>
  </w:abstractNum>
  <w:abstractNum w:abstractNumId="5">
    <w:nsid w:val="109CF92E"/>
    <w:multiLevelType w:val="hybridMultilevel"/>
    <w:lvl w:ilvl="0">
      <w:lvlJc w:val="left"/>
      <w:lvlText w:val="•"/>
      <w:numFmt w:val="bullet"/>
      <w:start w:val="1"/>
    </w:lvl>
  </w:abstractNum>
  <w:abstractNum w:abstractNumId="6">
    <w:nsid w:val="DED7263"/>
    <w:multiLevelType w:val="hybridMultilevel"/>
    <w:lvl w:ilvl="0">
      <w:lvlJc w:val="left"/>
      <w:lvlText w:val=" "/>
      <w:numFmt w:val="bullet"/>
      <w:start w:val="1"/>
    </w:lvl>
  </w:abstractNum>
  <w:abstractNum w:abstractNumId="7">
    <w:nsid w:val="7FDCC233"/>
    <w:multiLevelType w:val="hybridMultilevel"/>
    <w:lvl w:ilvl="0">
      <w:lvlJc w:val="left"/>
      <w:lvlText w:val="•"/>
      <w:numFmt w:val="bullet"/>
      <w:start w:val="1"/>
    </w:lvl>
  </w:abstractNum>
  <w:abstractNum w:abstractNumId="8">
    <w:nsid w:val="1BEFD79F"/>
    <w:multiLevelType w:val="hybridMultilevel"/>
    <w:lvl w:ilvl="0">
      <w:lvlJc w:val="left"/>
      <w:lvlText w:val="o"/>
      <w:numFmt w:val="bullet"/>
      <w:start w:val="1"/>
    </w:lvl>
  </w:abstractNum>
  <w:abstractNum w:abstractNumId="9">
    <w:nsid w:val="41A7C4C9"/>
    <w:multiLevelType w:val="hybridMultilevel"/>
    <w:lvl w:ilvl="0">
      <w:lvlJc w:val="left"/>
      <w:lvlText w:val="•"/>
      <w:numFmt w:val="bullet"/>
      <w:start w:val="1"/>
    </w:lvl>
  </w:abstractNum>
  <w:abstractNum w:abstractNumId="10">
    <w:nsid w:val="6B68079A"/>
    <w:multiLevelType w:val="hybridMultilevel"/>
    <w:lvl w:ilvl="0">
      <w:lvlJc w:val="left"/>
      <w:lvlText w:val="(%1)"/>
      <w:numFmt w:val="decimal"/>
      <w:start w:val="1"/>
    </w:lvl>
  </w:abstractNum>
  <w:abstractNum w:abstractNumId="11">
    <w:nsid w:val="4E6AFB66"/>
    <w:multiLevelType w:val="hybridMultilevel"/>
    <w:lvl w:ilvl="0">
      <w:lvlJc w:val="left"/>
      <w:lvlText w:val="%1)"/>
      <w:numFmt w:val="lowerLetter"/>
      <w:start w:val="1"/>
    </w:lvl>
  </w:abstractNum>
  <w:abstractNum w:abstractNumId="12">
    <w:nsid w:val="25E45D32"/>
    <w:multiLevelType w:val="hybridMultilevel"/>
    <w:lvl w:ilvl="0">
      <w:lvlJc w:val="left"/>
      <w:lvlText w:val="(%1)"/>
      <w:numFmt w:val="lowerLetter"/>
      <w:start w:val="2"/>
    </w:lvl>
  </w:abstractNum>
  <w:abstractNum w:abstractNumId="13">
    <w:nsid w:val="519B500D"/>
    <w:multiLevelType w:val="hybridMultilevel"/>
    <w:lvl w:ilvl="0">
      <w:lvlJc w:val="left"/>
      <w:lvlText w:val="(%1)"/>
      <w:numFmt w:val="lowerLetter"/>
      <w:start w:val="3"/>
    </w:lvl>
  </w:abstractNum>
  <w:abstractNum w:abstractNumId="14">
    <w:nsid w:val="431BD7B7"/>
    <w:multiLevelType w:val="hybridMultilevel"/>
    <w:lvl w:ilvl="0">
      <w:lvlJc w:val="left"/>
      <w:lvlText w:val="%1."/>
      <w:numFmt w:val="decimal"/>
      <w:start w:val="1"/>
    </w:lvl>
  </w:abstractNum>
  <w:abstractNum w:abstractNumId="15">
    <w:nsid w:val="3F2DBA31"/>
    <w:multiLevelType w:val="hybridMultilevel"/>
    <w:lvl w:ilvl="0">
      <w:lvlJc w:val="left"/>
      <w:lvlText w:val="%1."/>
      <w:numFmt w:val="decimal"/>
      <w:start w:val="2"/>
    </w:lvl>
  </w:abstractNum>
  <w:abstractNum w:abstractNumId="16">
    <w:nsid w:val="7C83E458"/>
    <w:multiLevelType w:val="hybridMultilevel"/>
    <w:lvl w:ilvl="0">
      <w:lvlJc w:val="left"/>
      <w:lvlText w:val="%1."/>
      <w:numFmt w:val="decimal"/>
      <w:start w:val="3"/>
    </w:lvl>
  </w:abstractNum>
  <w:abstractNum w:abstractNumId="17">
    <w:nsid w:val="257130A3"/>
    <w:multiLevelType w:val="hybridMultilevel"/>
    <w:lvl w:ilvl="0">
      <w:lvlJc w:val="left"/>
      <w:lvlText w:val="%1."/>
      <w:numFmt w:val="decimal"/>
      <w:start w:val="4"/>
    </w:lvl>
  </w:abstractNum>
  <w:abstractNum w:abstractNumId="18">
    <w:nsid w:val="62BBD95A"/>
    <w:multiLevelType w:val="hybridMultilevel"/>
    <w:lvl w:ilvl="0">
      <w:lvlJc w:val="left"/>
      <w:lvlText w:val="%1."/>
      <w:numFmt w:val="decimal"/>
      <w:start w:val="5"/>
    </w:lvl>
  </w:abstractNum>
  <w:abstractNum w:abstractNumId="19">
    <w:nsid w:val="436C6125"/>
    <w:multiLevelType w:val="hybridMultilevel"/>
    <w:lvl w:ilvl="0">
      <w:lvlJc w:val="left"/>
      <w:lvlText w:val="%1."/>
      <w:numFmt w:val="decimal"/>
      <w:start w:val="6"/>
    </w:lvl>
  </w:abstractNum>
  <w:abstractNum w:abstractNumId="20">
    <w:nsid w:val="628C895D"/>
    <w:multiLevelType w:val="hybridMultilevel"/>
    <w:lvl w:ilvl="0">
      <w:lvlJc w:val="left"/>
      <w:lvlText w:val="%1."/>
      <w:numFmt w:val="decimal"/>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jpeg"/><Relationship Id="rId21" Type="http://schemas.openxmlformats.org/officeDocument/2006/relationships/image" Target="media/image12.png"/><Relationship Id="rId22" Type="http://schemas.openxmlformats.org/officeDocument/2006/relationships/image" Target="media/image13.jpeg"/><Relationship Id="rId23" Type="http://schemas.openxmlformats.org/officeDocument/2006/relationships/image" Target="media/image14.png"/><Relationship Id="rId24" Type="http://schemas.openxmlformats.org/officeDocument/2006/relationships/image" Target="media/image15.jpeg"/><Relationship Id="rId25" Type="http://schemas.openxmlformats.org/officeDocument/2006/relationships/image" Target="media/image16.png"/><Relationship Id="rId26" Type="http://schemas.openxmlformats.org/officeDocument/2006/relationships/image" Target="media/image17.png"/><Relationship Id="rId27" Type="http://schemas.openxmlformats.org/officeDocument/2006/relationships/image" Target="media/image18.jpeg"/><Relationship Id="rId28" Type="http://schemas.openxmlformats.org/officeDocument/2006/relationships/image" Target="media/image19.png"/><Relationship Id="rId29" Type="http://schemas.openxmlformats.org/officeDocument/2006/relationships/image" Target="media/image20.jpeg"/><Relationship Id="rId30" Type="http://schemas.openxmlformats.org/officeDocument/2006/relationships/image" Target="media/image21.png"/><Relationship Id="rId31" Type="http://schemas.openxmlformats.org/officeDocument/2006/relationships/image" Target="media/image22.jpeg"/><Relationship Id="rId32" Type="http://schemas.openxmlformats.org/officeDocument/2006/relationships/image" Target="media/image23.png"/><Relationship Id="rId33" Type="http://schemas.openxmlformats.org/officeDocument/2006/relationships/image" Target="media/image24.png"/><Relationship Id="rId34" Type="http://schemas.openxmlformats.org/officeDocument/2006/relationships/image" Target="media/image25.png"/><Relationship Id="rId35" Type="http://schemas.openxmlformats.org/officeDocument/2006/relationships/image" Target="media/image26.png"/><Relationship Id="rId36" Type="http://schemas.openxmlformats.org/officeDocument/2006/relationships/image" Target="media/image27.png"/><Relationship Id="rId37" Type="http://schemas.openxmlformats.org/officeDocument/2006/relationships/image" Target="media/image28.png"/><Relationship Id="rId38" Type="http://schemas.openxmlformats.org/officeDocument/2006/relationships/image" Target="media/image29.png"/><Relationship Id="rId39" Type="http://schemas.openxmlformats.org/officeDocument/2006/relationships/image" Target="media/image30.png"/><Relationship Id="rId40" Type="http://schemas.openxmlformats.org/officeDocument/2006/relationships/image" Target="media/image31.png"/><Relationship Id="rId41" Type="http://schemas.openxmlformats.org/officeDocument/2006/relationships/image" Target="media/image32.png"/><Relationship Id="rId42" Type="http://schemas.openxmlformats.org/officeDocument/2006/relationships/image" Target="media/image33.png"/><Relationship Id="rId43" Type="http://schemas.openxmlformats.org/officeDocument/2006/relationships/image" Target="media/image34.png"/><Relationship Id="rId44" Type="http://schemas.openxmlformats.org/officeDocument/2006/relationships/image" Target="media/image35.png"/><Relationship Id="rId45" Type="http://schemas.openxmlformats.org/officeDocument/2006/relationships/image" Target="media/image36.png"/><Relationship Id="rId46" Type="http://schemas.openxmlformats.org/officeDocument/2006/relationships/image" Target="media/image37.png"/><Relationship Id="rId47" Type="http://schemas.openxmlformats.org/officeDocument/2006/relationships/image" Target="media/image38.png"/><Relationship Id="rId48" Type="http://schemas.openxmlformats.org/officeDocument/2006/relationships/image" Target="media/image39.png"/><Relationship Id="rId49" Type="http://schemas.openxmlformats.org/officeDocument/2006/relationships/image" Target="media/image40.png"/><Relationship Id="rId50"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png"/><Relationship Id="rId68" Type="http://schemas.openxmlformats.org/officeDocument/2006/relationships/image" Target="media/image59.png"/><Relationship Id="rId69" Type="http://schemas.openxmlformats.org/officeDocument/2006/relationships/image" Target="media/image60.png"/><Relationship Id="rId70" Type="http://schemas.openxmlformats.org/officeDocument/2006/relationships/image" Target="media/image61.png"/><Relationship Id="rId71" Type="http://schemas.openxmlformats.org/officeDocument/2006/relationships/image" Target="media/image62.png"/><Relationship Id="rId72" Type="http://schemas.openxmlformats.org/officeDocument/2006/relationships/image" Target="media/image63.png"/><Relationship Id="rId73" Type="http://schemas.openxmlformats.org/officeDocument/2006/relationships/image" Target="media/image64.png"/><Relationship Id="rId74" Type="http://schemas.openxmlformats.org/officeDocument/2006/relationships/image" Target="media/image65.png"/><Relationship Id="rId75" Type="http://schemas.openxmlformats.org/officeDocument/2006/relationships/image" Target="media/image66.png"/><Relationship Id="rId76" Type="http://schemas.openxmlformats.org/officeDocument/2006/relationships/image" Target="media/image67.png"/><Relationship Id="rId77" Type="http://schemas.openxmlformats.org/officeDocument/2006/relationships/image" Target="media/image68.png"/><Relationship Id="rId78" Type="http://schemas.openxmlformats.org/officeDocument/2006/relationships/image" Target="media/image69.png"/><Relationship Id="rId79" Type="http://schemas.openxmlformats.org/officeDocument/2006/relationships/image" Target="media/image70.png"/><Relationship Id="rId80" Type="http://schemas.openxmlformats.org/officeDocument/2006/relationships/image" Target="media/image71.png"/><Relationship Id="rId81" Type="http://schemas.openxmlformats.org/officeDocument/2006/relationships/image" Target="media/image72.png"/><Relationship Id="rId82" Type="http://schemas.openxmlformats.org/officeDocument/2006/relationships/image" Target="media/image73.png"/><Relationship Id="rId83" Type="http://schemas.openxmlformats.org/officeDocument/2006/relationships/image" Target="media/image74.png"/><Relationship Id="rId84" Type="http://schemas.openxmlformats.org/officeDocument/2006/relationships/image" Target="media/image75.png"/><Relationship Id="rId85" Type="http://schemas.openxmlformats.org/officeDocument/2006/relationships/image" Target="media/image76.png"/><Relationship Id="rId86" Type="http://schemas.openxmlformats.org/officeDocument/2006/relationships/image" Target="media/image77.png"/><Relationship Id="rId87" Type="http://schemas.openxmlformats.org/officeDocument/2006/relationships/image" Target="media/image78.png"/><Relationship Id="rId88" Type="http://schemas.openxmlformats.org/officeDocument/2006/relationships/image" Target="media/image79.png"/><Relationship Id="rId89" Type="http://schemas.openxmlformats.org/officeDocument/2006/relationships/image" Target="media/image80.png"/><Relationship Id="rId90" Type="http://schemas.openxmlformats.org/officeDocument/2006/relationships/image" Target="media/image81.png"/><Relationship Id="rId91" Type="http://schemas.openxmlformats.org/officeDocument/2006/relationships/image" Target="media/image82.png"/><Relationship Id="rId92" Type="http://schemas.openxmlformats.org/officeDocument/2006/relationships/image" Target="media/image83.png"/><Relationship Id="rId93" Type="http://schemas.openxmlformats.org/officeDocument/2006/relationships/image" Target="media/image84.png"/><Relationship Id="rId94" Type="http://schemas.openxmlformats.org/officeDocument/2006/relationships/image" Target="media/image85.png"/><Relationship Id="rId95" Type="http://schemas.openxmlformats.org/officeDocument/2006/relationships/image" Target="media/image86.png"/><Relationship Id="rId96" Type="http://schemas.openxmlformats.org/officeDocument/2006/relationships/image" Target="media/image87.png"/><Relationship Id="rId97" Type="http://schemas.openxmlformats.org/officeDocument/2006/relationships/image" Target="media/image88.png"/><Relationship Id="rId98" Type="http://schemas.openxmlformats.org/officeDocument/2006/relationships/image" Target="media/image89.png"/><Relationship Id="rId99" Type="http://schemas.openxmlformats.org/officeDocument/2006/relationships/image" Target="media/image90.png"/><Relationship Id="rId100" Type="http://schemas.openxmlformats.org/officeDocument/2006/relationships/image" Target="media/image91.png"/><Relationship Id="rId101" Type="http://schemas.openxmlformats.org/officeDocument/2006/relationships/image" Target="media/image92.png"/><Relationship Id="rId102" Type="http://schemas.openxmlformats.org/officeDocument/2006/relationships/image" Target="media/image93.png"/><Relationship Id="rId103" Type="http://schemas.openxmlformats.org/officeDocument/2006/relationships/image" Target="media/image94.png"/><Relationship Id="rId104" Type="http://schemas.openxmlformats.org/officeDocument/2006/relationships/image" Target="media/image95.png"/><Relationship Id="rId105" Type="http://schemas.openxmlformats.org/officeDocument/2006/relationships/image" Target="media/image96.png"/><Relationship Id="rId106" Type="http://schemas.openxmlformats.org/officeDocument/2006/relationships/image" Target="media/image97.png"/><Relationship Id="rId107" Type="http://schemas.openxmlformats.org/officeDocument/2006/relationships/image" Target="media/image98.png"/><Relationship Id="rId108" Type="http://schemas.openxmlformats.org/officeDocument/2006/relationships/image" Target="media/image99.png"/><Relationship Id="rId109" Type="http://schemas.openxmlformats.org/officeDocument/2006/relationships/image" Target="media/image100.png"/><Relationship Id="rId110" Type="http://schemas.openxmlformats.org/officeDocument/2006/relationships/image" Target="media/image101.png"/><Relationship Id="rId111" Type="http://schemas.openxmlformats.org/officeDocument/2006/relationships/image" Target="media/image102.png"/><Relationship Id="rId112" Type="http://schemas.openxmlformats.org/officeDocument/2006/relationships/image" Target="media/image103.png"/><Relationship Id="rId113" Type="http://schemas.openxmlformats.org/officeDocument/2006/relationships/image" Target="media/image104.png"/><Relationship Id="rId114" Type="http://schemas.openxmlformats.org/officeDocument/2006/relationships/image" Target="media/image105.png"/><Relationship Id="rId115" Type="http://schemas.openxmlformats.org/officeDocument/2006/relationships/image" Target="media/image106.png"/><Relationship Id="rId116" Type="http://schemas.openxmlformats.org/officeDocument/2006/relationships/image" Target="media/image107.png"/><Relationship Id="rId117" Type="http://schemas.openxmlformats.org/officeDocument/2006/relationships/image" Target="media/image108.png"/><Relationship Id="rId118" Type="http://schemas.openxmlformats.org/officeDocument/2006/relationships/image" Target="media/image109.png"/><Relationship Id="rId119" Type="http://schemas.openxmlformats.org/officeDocument/2006/relationships/image" Target="media/image110.png"/><Relationship Id="rId120" Type="http://schemas.openxmlformats.org/officeDocument/2006/relationships/image" Target="media/image111.png"/><Relationship Id="rId121" Type="http://schemas.openxmlformats.org/officeDocument/2006/relationships/image" Target="media/image112.png"/><Relationship Id="rId122" Type="http://schemas.openxmlformats.org/officeDocument/2006/relationships/image" Target="media/image113.png"/><Relationship Id="rId123" Type="http://schemas.openxmlformats.org/officeDocument/2006/relationships/image" Target="media/image114.png"/><Relationship Id="rId124" Type="http://schemas.openxmlformats.org/officeDocument/2006/relationships/image" Target="media/image115.png"/><Relationship Id="rId125" Type="http://schemas.openxmlformats.org/officeDocument/2006/relationships/image" Target="media/image116.png"/><Relationship Id="rId126" Type="http://schemas.openxmlformats.org/officeDocument/2006/relationships/image" Target="media/image117.png"/><Relationship Id="rId127" Type="http://schemas.openxmlformats.org/officeDocument/2006/relationships/image" Target="media/image118.png"/><Relationship Id="rId128" Type="http://schemas.openxmlformats.org/officeDocument/2006/relationships/image" Target="media/image119.png"/><Relationship Id="rId129" Type="http://schemas.openxmlformats.org/officeDocument/2006/relationships/image" Target="media/image120.png"/><Relationship Id="rId130" Type="http://schemas.openxmlformats.org/officeDocument/2006/relationships/image" Target="media/image121.png"/><Relationship Id="rId131" Type="http://schemas.openxmlformats.org/officeDocument/2006/relationships/image" Target="media/image122.png"/><Relationship Id="rId132" Type="http://schemas.openxmlformats.org/officeDocument/2006/relationships/image" Target="media/image123.png"/><Relationship Id="rId133" Type="http://schemas.openxmlformats.org/officeDocument/2006/relationships/image" Target="media/image124.png"/><Relationship Id="rId134" Type="http://schemas.openxmlformats.org/officeDocument/2006/relationships/image" Target="media/image125.png"/><Relationship Id="rId135" Type="http://schemas.openxmlformats.org/officeDocument/2006/relationships/image" Target="media/image126.png"/><Relationship Id="rId136" Type="http://schemas.openxmlformats.org/officeDocument/2006/relationships/image" Target="media/image127.png"/><Relationship Id="rId137" Type="http://schemas.openxmlformats.org/officeDocument/2006/relationships/image" Target="media/image128.png"/><Relationship Id="rId138" Type="http://schemas.openxmlformats.org/officeDocument/2006/relationships/image" Target="media/image129.png"/><Relationship Id="rId139" Type="http://schemas.openxmlformats.org/officeDocument/2006/relationships/image" Target="media/image130.png"/><Relationship Id="rId140" Type="http://schemas.openxmlformats.org/officeDocument/2006/relationships/image" Target="media/image131.png"/><Relationship Id="rId141" Type="http://schemas.openxmlformats.org/officeDocument/2006/relationships/image" Target="media/image132.png"/><Relationship Id="rId142" Type="http://schemas.openxmlformats.org/officeDocument/2006/relationships/image" Target="media/image133.png"/><Relationship Id="rId143" Type="http://schemas.openxmlformats.org/officeDocument/2006/relationships/image" Target="media/image134.png"/><Relationship Id="rId144" Type="http://schemas.openxmlformats.org/officeDocument/2006/relationships/image" Target="media/image135.png"/><Relationship Id="rId145" Type="http://schemas.openxmlformats.org/officeDocument/2006/relationships/image" Target="media/image136.png"/><Relationship Id="rId146" Type="http://schemas.openxmlformats.org/officeDocument/2006/relationships/image" Target="media/image137.png"/><Relationship Id="rId147" Type="http://schemas.openxmlformats.org/officeDocument/2006/relationships/image" Target="media/image138.png"/><Relationship Id="rId148" Type="http://schemas.openxmlformats.org/officeDocument/2006/relationships/image" Target="media/image139.png"/><Relationship Id="rId149" Type="http://schemas.openxmlformats.org/officeDocument/2006/relationships/image" Target="media/image140.png"/><Relationship Id="rId150" Type="http://schemas.openxmlformats.org/officeDocument/2006/relationships/image" Target="media/image141.png"/><Relationship Id="rId151" Type="http://schemas.openxmlformats.org/officeDocument/2006/relationships/image" Target="media/image142.png"/><Relationship Id="rId152" Type="http://schemas.openxmlformats.org/officeDocument/2006/relationships/image" Target="media/image143.png"/><Relationship Id="rId153" Type="http://schemas.openxmlformats.org/officeDocument/2006/relationships/image" Target="media/image144.png"/><Relationship Id="rId154" Type="http://schemas.openxmlformats.org/officeDocument/2006/relationships/image" Target="media/image145.png"/><Relationship Id="rId155" Type="http://schemas.openxmlformats.org/officeDocument/2006/relationships/image" Target="media/image146.png"/><Relationship Id="rId156" Type="http://schemas.openxmlformats.org/officeDocument/2006/relationships/image" Target="media/image147.png"/><Relationship Id="rId157" Type="http://schemas.openxmlformats.org/officeDocument/2006/relationships/image" Target="media/image148.png"/><Relationship Id="rId158" Type="http://schemas.openxmlformats.org/officeDocument/2006/relationships/image" Target="media/image149.png"/><Relationship Id="rId159" Type="http://schemas.openxmlformats.org/officeDocument/2006/relationships/image" Target="media/image150.png"/><Relationship Id="rId160" Type="http://schemas.openxmlformats.org/officeDocument/2006/relationships/image" Target="media/image151.png"/><Relationship Id="rId161" Type="http://schemas.openxmlformats.org/officeDocument/2006/relationships/image" Target="media/image152.png"/><Relationship Id="rId162" Type="http://schemas.openxmlformats.org/officeDocument/2006/relationships/image" Target="media/image153.png"/><Relationship Id="rId163" Type="http://schemas.openxmlformats.org/officeDocument/2006/relationships/image" Target="media/image154.png"/><Relationship Id="rId164" Type="http://schemas.openxmlformats.org/officeDocument/2006/relationships/image" Target="media/image155.png"/><Relationship Id="rId165" Type="http://schemas.openxmlformats.org/officeDocument/2006/relationships/image" Target="media/image156.png"/><Relationship Id="rId166" Type="http://schemas.openxmlformats.org/officeDocument/2006/relationships/image" Target="media/image157.png"/><Relationship Id="rId167" Type="http://schemas.openxmlformats.org/officeDocument/2006/relationships/image" Target="media/image158.png"/><Relationship Id="rId168" Type="http://schemas.openxmlformats.org/officeDocument/2006/relationships/image" Target="media/image159.png"/><Relationship Id="rId169" Type="http://schemas.openxmlformats.org/officeDocument/2006/relationships/image" Target="media/image160.png"/><Relationship Id="rId170" Type="http://schemas.openxmlformats.org/officeDocument/2006/relationships/image" Target="media/image161.png"/><Relationship Id="rId171" Type="http://schemas.openxmlformats.org/officeDocument/2006/relationships/image" Target="media/image162.png"/><Relationship Id="rId172" Type="http://schemas.openxmlformats.org/officeDocument/2006/relationships/image" Target="media/image163.png"/><Relationship Id="rId173" Type="http://schemas.openxmlformats.org/officeDocument/2006/relationships/image" Target="media/image164.png"/><Relationship Id="rId174" Type="http://schemas.openxmlformats.org/officeDocument/2006/relationships/image" Target="media/image165.png"/><Relationship Id="rId175" Type="http://schemas.openxmlformats.org/officeDocument/2006/relationships/image" Target="media/image166.png"/><Relationship Id="rId176" Type="http://schemas.openxmlformats.org/officeDocument/2006/relationships/image" Target="media/image167.png"/><Relationship Id="rId177" Type="http://schemas.openxmlformats.org/officeDocument/2006/relationships/image" Target="media/image168.png"/><Relationship Id="rId178" Type="http://schemas.openxmlformats.org/officeDocument/2006/relationships/image" Target="media/image169.png"/><Relationship Id="rId179" Type="http://schemas.openxmlformats.org/officeDocument/2006/relationships/image" Target="media/image170.png"/><Relationship Id="rId180" Type="http://schemas.openxmlformats.org/officeDocument/2006/relationships/image" Target="media/image171.png"/><Relationship Id="rId181" Type="http://schemas.openxmlformats.org/officeDocument/2006/relationships/image" Target="media/image172.png"/><Relationship Id="rId182" Type="http://schemas.openxmlformats.org/officeDocument/2006/relationships/image" Target="media/image173.png"/><Relationship Id="rId183" Type="http://schemas.openxmlformats.org/officeDocument/2006/relationships/image" Target="media/image174.png"/><Relationship Id="rId184" Type="http://schemas.openxmlformats.org/officeDocument/2006/relationships/image" Target="media/image175.png"/><Relationship Id="rId185" Type="http://schemas.openxmlformats.org/officeDocument/2006/relationships/image" Target="media/image176.png"/><Relationship Id="rId186" Type="http://schemas.openxmlformats.org/officeDocument/2006/relationships/image" Target="media/image177.png"/><Relationship Id="rId187" Type="http://schemas.openxmlformats.org/officeDocument/2006/relationships/image" Target="media/image178.png"/><Relationship Id="rId188" Type="http://schemas.openxmlformats.org/officeDocument/2006/relationships/image" Target="media/image179.png"/><Relationship Id="rId189" Type="http://schemas.openxmlformats.org/officeDocument/2006/relationships/image" Target="media/image180.png"/><Relationship Id="rId190" Type="http://schemas.openxmlformats.org/officeDocument/2006/relationships/image" Target="media/image181.png"/><Relationship Id="rId191" Type="http://schemas.openxmlformats.org/officeDocument/2006/relationships/image" Target="media/image182.png"/><Relationship Id="rId192" Type="http://schemas.openxmlformats.org/officeDocument/2006/relationships/image" Target="media/image183.png"/><Relationship Id="rId193" Type="http://schemas.openxmlformats.org/officeDocument/2006/relationships/image" Target="media/image184.png"/><Relationship Id="rId194" Type="http://schemas.openxmlformats.org/officeDocument/2006/relationships/image" Target="media/image185.png"/><Relationship Id="rId195" Type="http://schemas.openxmlformats.org/officeDocument/2006/relationships/image" Target="media/image186.png"/><Relationship Id="rId196" Type="http://schemas.openxmlformats.org/officeDocument/2006/relationships/image" Target="media/image187.png"/><Relationship Id="rId197" Type="http://schemas.openxmlformats.org/officeDocument/2006/relationships/image" Target="media/image188.png"/><Relationship Id="rId198" Type="http://schemas.openxmlformats.org/officeDocument/2006/relationships/image" Target="media/image189.png"/><Relationship Id="rId199" Type="http://schemas.openxmlformats.org/officeDocument/2006/relationships/image" Target="media/image190.png"/><Relationship Id="rId200" Type="http://schemas.openxmlformats.org/officeDocument/2006/relationships/image" Target="media/image191.png"/><Relationship Id="rId201" Type="http://schemas.openxmlformats.org/officeDocument/2006/relationships/image" Target="media/image192.png"/><Relationship Id="rId202" Type="http://schemas.openxmlformats.org/officeDocument/2006/relationships/image" Target="media/image193.png"/><Relationship Id="rId203" Type="http://schemas.openxmlformats.org/officeDocument/2006/relationships/image" Target="media/image194.png"/><Relationship Id="rId204" Type="http://schemas.openxmlformats.org/officeDocument/2006/relationships/image" Target="media/image195.png"/><Relationship Id="rId205" Type="http://schemas.openxmlformats.org/officeDocument/2006/relationships/image" Target="media/image196.png"/><Relationship Id="rId206" Type="http://schemas.openxmlformats.org/officeDocument/2006/relationships/image" Target="media/image197.png"/><Relationship Id="rId207" Type="http://schemas.openxmlformats.org/officeDocument/2006/relationships/image" Target="media/image198.png"/><Relationship Id="rId208" Type="http://schemas.openxmlformats.org/officeDocument/2006/relationships/image" Target="media/image199.png"/><Relationship Id="rId209" Type="http://schemas.openxmlformats.org/officeDocument/2006/relationships/image" Target="media/image200.png"/><Relationship Id="rId210" Type="http://schemas.openxmlformats.org/officeDocument/2006/relationships/image" Target="media/image201.png"/><Relationship Id="rId211" Type="http://schemas.openxmlformats.org/officeDocument/2006/relationships/image" Target="media/image202.png"/><Relationship Id="rId212" Type="http://schemas.openxmlformats.org/officeDocument/2006/relationships/image" Target="media/image203.png"/><Relationship Id="rId213" Type="http://schemas.openxmlformats.org/officeDocument/2006/relationships/image" Target="media/image204.png"/><Relationship Id="rId214" Type="http://schemas.openxmlformats.org/officeDocument/2006/relationships/image" Target="media/image205.png"/><Relationship Id="rId215" Type="http://schemas.openxmlformats.org/officeDocument/2006/relationships/image" Target="media/image206.png"/><Relationship Id="rId216" Type="http://schemas.openxmlformats.org/officeDocument/2006/relationships/image" Target="media/image207.png"/><Relationship Id="rId217" Type="http://schemas.openxmlformats.org/officeDocument/2006/relationships/image" Target="media/image208.png"/><Relationship Id="rId218" Type="http://schemas.openxmlformats.org/officeDocument/2006/relationships/image" Target="media/image209.png"/><Relationship Id="rId219" Type="http://schemas.openxmlformats.org/officeDocument/2006/relationships/image" Target="media/image210.png"/><Relationship Id="rId220" Type="http://schemas.openxmlformats.org/officeDocument/2006/relationships/image" Target="media/image211.png"/><Relationship Id="rId221" Type="http://schemas.openxmlformats.org/officeDocument/2006/relationships/image" Target="media/image212.png"/><Relationship Id="rId222" Type="http://schemas.openxmlformats.org/officeDocument/2006/relationships/image" Target="media/image213.png"/><Relationship Id="rId223" Type="http://schemas.openxmlformats.org/officeDocument/2006/relationships/image" Target="media/image214.png"/><Relationship Id="rId224" Type="http://schemas.openxmlformats.org/officeDocument/2006/relationships/image" Target="media/image215.png"/><Relationship Id="rId225" Type="http://schemas.openxmlformats.org/officeDocument/2006/relationships/image" Target="media/image216.png"/><Relationship Id="rId226" Type="http://schemas.openxmlformats.org/officeDocument/2006/relationships/image" Target="media/image217.png"/><Relationship Id="rId227" Type="http://schemas.openxmlformats.org/officeDocument/2006/relationships/image" Target="media/image218.png"/><Relationship Id="rId228" Type="http://schemas.openxmlformats.org/officeDocument/2006/relationships/image" Target="media/image219.png"/><Relationship Id="rId229" Type="http://schemas.openxmlformats.org/officeDocument/2006/relationships/image" Target="media/image220.png"/><Relationship Id="rId230" Type="http://schemas.openxmlformats.org/officeDocument/2006/relationships/image" Target="media/image221.png"/><Relationship Id="rId231" Type="http://schemas.openxmlformats.org/officeDocument/2006/relationships/image" Target="media/image222.png"/><Relationship Id="rId232" Type="http://schemas.openxmlformats.org/officeDocument/2006/relationships/image" Target="media/image223.png"/><Relationship Id="rId233" Type="http://schemas.openxmlformats.org/officeDocument/2006/relationships/image" Target="media/image224.png"/><Relationship Id="rId234" Type="http://schemas.openxmlformats.org/officeDocument/2006/relationships/image" Target="media/image225.png"/><Relationship Id="rId235" Type="http://schemas.openxmlformats.org/officeDocument/2006/relationships/image" Target="media/image226.png"/><Relationship Id="rId236" Type="http://schemas.openxmlformats.org/officeDocument/2006/relationships/image" Target="media/image227.png"/><Relationship Id="rId237" Type="http://schemas.openxmlformats.org/officeDocument/2006/relationships/image" Target="media/image228.png"/><Relationship Id="rId238" Type="http://schemas.openxmlformats.org/officeDocument/2006/relationships/image" Target="media/image229.png"/><Relationship Id="rId239" Type="http://schemas.openxmlformats.org/officeDocument/2006/relationships/image" Target="media/image230.png"/><Relationship Id="rId240" Type="http://schemas.openxmlformats.org/officeDocument/2006/relationships/image" Target="media/image231.png"/><Relationship Id="rId241" Type="http://schemas.openxmlformats.org/officeDocument/2006/relationships/image" Target="media/image232.png"/><Relationship Id="rId242" Type="http://schemas.openxmlformats.org/officeDocument/2006/relationships/image" Target="media/image233.png"/><Relationship Id="rId243" Type="http://schemas.openxmlformats.org/officeDocument/2006/relationships/image" Target="media/image234.png"/><Relationship Id="rId244" Type="http://schemas.openxmlformats.org/officeDocument/2006/relationships/image" Target="media/image235.png"/><Relationship Id="rId245" Type="http://schemas.openxmlformats.org/officeDocument/2006/relationships/image" Target="media/image236.png"/><Relationship Id="rId246" Type="http://schemas.openxmlformats.org/officeDocument/2006/relationships/image" Target="media/image237.png"/><Relationship Id="rId247" Type="http://schemas.openxmlformats.org/officeDocument/2006/relationships/image" Target="media/image238.png"/><Relationship Id="rId248" Type="http://schemas.openxmlformats.org/officeDocument/2006/relationships/image" Target="media/image239.png"/><Relationship Id="rId249" Type="http://schemas.openxmlformats.org/officeDocument/2006/relationships/image" Target="media/image240.png"/><Relationship Id="rId250" Type="http://schemas.openxmlformats.org/officeDocument/2006/relationships/image" Target="media/image241.png"/><Relationship Id="rId251" Type="http://schemas.openxmlformats.org/officeDocument/2006/relationships/image" Target="media/image242.png"/><Relationship Id="rId252" Type="http://schemas.openxmlformats.org/officeDocument/2006/relationships/image" Target="media/image243.png"/><Relationship Id="rId14" Type="http://schemas.openxmlformats.org/officeDocument/2006/relationships/hyperlink" Target="https://www.sec.gov/Archives/edgar/data/1056696/000156459018025118/manh-ex101_459.htm" TargetMode="External"/><Relationship Id="rId15" Type="http://schemas.openxmlformats.org/officeDocument/2006/relationships/hyperlink" Target="https://www.sec.gov/Archives/edgar/data/1056696/000095017025034838/manh-ex10_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2025-10-21T15:12:37Z</dcterms:created>
  <dcterms:modified xsi:type="dcterms:W3CDTF">2025-10-21T15:12:37Z</dcterms:modified>
</cp:coreProperties>
</file>