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U</w:t>
      </w:r>
      <w:r>
        <w:rPr>
          <w:rFonts w:ascii="Times New Roman" w:cs="Times New Roman" w:eastAsia="Times New Roman" w:hAnsi="Times New Roman"/>
          <w:sz w:val="17"/>
          <w:szCs w:val="17"/>
          <w:b w:val="1"/>
          <w:bCs w:val="1"/>
          <w:color w:val="auto"/>
        </w:rPr>
        <w:t>nited</w:t>
      </w:r>
      <w:r>
        <w:rPr>
          <w:rFonts w:ascii="Times New Roman" w:cs="Times New Roman" w:eastAsia="Times New Roman" w:hAnsi="Times New Roman"/>
          <w:sz w:val="25"/>
          <w:szCs w:val="25"/>
          <w:b w:val="1"/>
          <w:bCs w:val="1"/>
          <w:color w:val="auto"/>
        </w:rPr>
        <w:t xml:space="preserve"> S</w:t>
      </w:r>
      <w:r>
        <w:rPr>
          <w:rFonts w:ascii="Times New Roman" w:cs="Times New Roman" w:eastAsia="Times New Roman" w:hAnsi="Times New Roman"/>
          <w:sz w:val="17"/>
          <w:szCs w:val="17"/>
          <w:b w:val="1"/>
          <w:bCs w:val="1"/>
          <w:color w:val="auto"/>
        </w:rPr>
        <w:t>tates</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w:t>
      </w:r>
      <w:r>
        <w:rPr>
          <w:rFonts w:ascii="Times New Roman" w:cs="Times New Roman" w:eastAsia="Times New Roman" w:hAnsi="Times New Roman"/>
          <w:sz w:val="17"/>
          <w:szCs w:val="17"/>
          <w:b w:val="1"/>
          <w:bCs w:val="1"/>
          <w:color w:val="auto"/>
        </w:rPr>
        <w:t>ecurities</w:t>
      </w:r>
      <w:r>
        <w:rPr>
          <w:rFonts w:ascii="Times New Roman" w:cs="Times New Roman" w:eastAsia="Times New Roman" w:hAnsi="Times New Roman"/>
          <w:sz w:val="25"/>
          <w:szCs w:val="25"/>
          <w:b w:val="1"/>
          <w:bCs w:val="1"/>
          <w:color w:val="auto"/>
        </w:rPr>
        <w:t xml:space="preserve"> A</w:t>
      </w:r>
      <w:r>
        <w:rPr>
          <w:rFonts w:ascii="Times New Roman" w:cs="Times New Roman" w:eastAsia="Times New Roman" w:hAnsi="Times New Roman"/>
          <w:sz w:val="17"/>
          <w:szCs w:val="17"/>
          <w:b w:val="1"/>
          <w:bCs w:val="1"/>
          <w:color w:val="auto"/>
        </w:rPr>
        <w:t>nd</w:t>
      </w:r>
      <w:r>
        <w:rPr>
          <w:rFonts w:ascii="Times New Roman" w:cs="Times New Roman" w:eastAsia="Times New Roman" w:hAnsi="Times New Roman"/>
          <w:sz w:val="25"/>
          <w:szCs w:val="25"/>
          <w:b w:val="1"/>
          <w:bCs w:val="1"/>
          <w:color w:val="auto"/>
        </w:rPr>
        <w:t xml:space="preserve"> E</w:t>
      </w:r>
      <w:r>
        <w:rPr>
          <w:rFonts w:ascii="Times New Roman" w:cs="Times New Roman" w:eastAsia="Times New Roman" w:hAnsi="Times New Roman"/>
          <w:sz w:val="17"/>
          <w:szCs w:val="17"/>
          <w:b w:val="1"/>
          <w:bCs w:val="1"/>
          <w:color w:val="auto"/>
        </w:rPr>
        <w:t>xchange</w:t>
      </w:r>
      <w:r>
        <w:rPr>
          <w:rFonts w:ascii="Times New Roman" w:cs="Times New Roman" w:eastAsia="Times New Roman" w:hAnsi="Times New Roman"/>
          <w:sz w:val="25"/>
          <w:szCs w:val="25"/>
          <w:b w:val="1"/>
          <w:bCs w:val="1"/>
          <w:color w:val="auto"/>
        </w:rPr>
        <w:t xml:space="preserve"> C</w:t>
      </w:r>
      <w:r>
        <w:rPr>
          <w:rFonts w:ascii="Times New Roman" w:cs="Times New Roman" w:eastAsia="Times New Roman" w:hAnsi="Times New Roman"/>
          <w:sz w:val="17"/>
          <w:szCs w:val="17"/>
          <w:b w:val="1"/>
          <w:bCs w:val="1"/>
          <w:color w:val="auto"/>
        </w:rPr>
        <w:t>ommission</w:t>
      </w:r>
    </w:p>
    <w:p>
      <w:pPr>
        <w:spacing w:after="0" w:line="1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color w:val="auto"/>
        </w:rPr>
        <w:t>Washington, DC 20549</w:t>
      </w:r>
    </w:p>
    <w:p>
      <w:pPr>
        <w:ind w:left="4860"/>
        <w:spacing w:after="0"/>
        <w:rPr>
          <w:sz w:val="20"/>
          <w:szCs w:val="20"/>
          <w:color w:val="auto"/>
        </w:rPr>
      </w:pPr>
      <w:r>
        <w:rPr>
          <w:rFonts w:ascii="Times New Roman" w:cs="Times New Roman" w:eastAsia="Times New Roman" w:hAnsi="Times New Roman"/>
          <w:sz w:val="22"/>
          <w:szCs w:val="22"/>
          <w:color w:val="auto"/>
        </w:rPr>
        <w:t>______________</w:t>
      </w: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2"/>
          <w:szCs w:val="22"/>
          <w:color w:val="auto"/>
        </w:rPr>
        <w:t>____________</w:t>
      </w:r>
    </w:p>
    <w:p>
      <w:pPr>
        <w:spacing w:after="0" w:line="17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Date of Report (Date of earliest event reported): January 27, 2026</w:t>
      </w:r>
    </w:p>
    <w:p>
      <w:pPr>
        <w:spacing w:after="0" w:line="19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M</w:t>
      </w:r>
      <w:r>
        <w:rPr>
          <w:rFonts w:ascii="Times New Roman" w:cs="Times New Roman" w:eastAsia="Times New Roman" w:hAnsi="Times New Roman"/>
          <w:sz w:val="20"/>
          <w:szCs w:val="20"/>
          <w:b w:val="1"/>
          <w:bCs w:val="1"/>
          <w:color w:val="auto"/>
        </w:rPr>
        <w:t>anhattan</w:t>
      </w:r>
      <w:r>
        <w:rPr>
          <w:rFonts w:ascii="Times New Roman" w:cs="Times New Roman" w:eastAsia="Times New Roman" w:hAnsi="Times New Roman"/>
          <w:sz w:val="29"/>
          <w:szCs w:val="29"/>
          <w:b w:val="1"/>
          <w:bCs w:val="1"/>
          <w:color w:val="auto"/>
        </w:rPr>
        <w:t xml:space="preserve"> A</w:t>
      </w:r>
      <w:r>
        <w:rPr>
          <w:rFonts w:ascii="Times New Roman" w:cs="Times New Roman" w:eastAsia="Times New Roman" w:hAnsi="Times New Roman"/>
          <w:sz w:val="20"/>
          <w:szCs w:val="20"/>
          <w:b w:val="1"/>
          <w:bCs w:val="1"/>
          <w:color w:val="auto"/>
        </w:rPr>
        <w:t>ssociates</w:t>
      </w:r>
      <w:r>
        <w:rPr>
          <w:rFonts w:ascii="Times New Roman" w:cs="Times New Roman" w:eastAsia="Times New Roman" w:hAnsi="Times New Roman"/>
          <w:sz w:val="29"/>
          <w:szCs w:val="29"/>
          <w:b w:val="1"/>
          <w:bCs w:val="1"/>
          <w:color w:val="auto"/>
        </w:rPr>
        <w:t>, I</w:t>
      </w:r>
      <w:r>
        <w:rPr>
          <w:rFonts w:ascii="Times New Roman" w:cs="Times New Roman" w:eastAsia="Times New Roman" w:hAnsi="Times New Roman"/>
          <w:sz w:val="20"/>
          <w:szCs w:val="20"/>
          <w:b w:val="1"/>
          <w:bCs w:val="1"/>
          <w:color w:val="auto"/>
        </w:rPr>
        <w:t>nc</w:t>
      </w:r>
      <w:r>
        <w:rPr>
          <w:rFonts w:ascii="Times New Roman" w:cs="Times New Roman" w:eastAsia="Times New Roman" w:hAnsi="Times New Roman"/>
          <w:sz w:val="29"/>
          <w:szCs w:val="29"/>
          <w:b w:val="1"/>
          <w:bCs w:val="1"/>
          <w:color w:val="auto"/>
        </w:rPr>
        <w:t>.</w:t>
      </w:r>
    </w:p>
    <w:p>
      <w:pPr>
        <w:spacing w:after="0" w:line="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ectPr>
          <w:pgSz w:w="11900" w:h="16838" w:orient="portrait"/>
          <w:cols w:equalWidth="0" w:num="1">
            <w:col w:w="11180"/>
          </w:cols>
          <w:pgMar w:left="320" w:top="1440" w:right="399" w:bottom="1440" w:gutter="0" w:footer="0" w:header="0"/>
        </w:sectPr>
      </w:pPr>
    </w:p>
    <w:p>
      <w:pPr>
        <w:spacing w:after="0" w:line="21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Georgia</w:t>
      </w:r>
    </w:p>
    <w:p>
      <w:pPr>
        <w:spacing w:after="0" w:line="28"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7"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2100" w:type="dxa"/>
            <w:vAlign w:val="bottom"/>
          </w:tcPr>
          <w:p>
            <w:pPr>
              <w:jc w:val="center"/>
              <w:ind w:right="1067"/>
              <w:spacing w:after="0"/>
              <w:rPr>
                <w:sz w:val="20"/>
                <w:szCs w:val="20"/>
                <w:color w:val="auto"/>
              </w:rPr>
            </w:pPr>
            <w:r>
              <w:rPr>
                <w:rFonts w:ascii="Times New Roman" w:cs="Times New Roman" w:eastAsia="Times New Roman" w:hAnsi="Times New Roman"/>
                <w:sz w:val="20"/>
                <w:szCs w:val="20"/>
                <w:b w:val="1"/>
                <w:bCs w:val="1"/>
                <w:color w:val="auto"/>
                <w:w w:val="98"/>
              </w:rPr>
              <w:t>0-23999</w:t>
            </w:r>
          </w:p>
        </w:tc>
        <w:tc>
          <w:tcPr>
            <w:tcW w:w="2460" w:type="dxa"/>
            <w:vAlign w:val="bottom"/>
          </w:tcPr>
          <w:p>
            <w:pPr>
              <w:jc w:val="center"/>
              <w:ind w:left="1047"/>
              <w:spacing w:after="0"/>
              <w:rPr>
                <w:sz w:val="20"/>
                <w:szCs w:val="20"/>
                <w:color w:val="auto"/>
              </w:rPr>
            </w:pPr>
            <w:r>
              <w:rPr>
                <w:rFonts w:ascii="Times New Roman" w:cs="Times New Roman" w:eastAsia="Times New Roman" w:hAnsi="Times New Roman"/>
                <w:sz w:val="20"/>
                <w:szCs w:val="20"/>
                <w:b w:val="1"/>
                <w:bCs w:val="1"/>
                <w:color w:val="auto"/>
                <w:w w:val="99"/>
              </w:rPr>
              <w:t>58-2373424</w:t>
            </w:r>
          </w:p>
        </w:tc>
      </w:tr>
      <w:tr>
        <w:trPr>
          <w:trHeight w:val="216"/>
        </w:trPr>
        <w:tc>
          <w:tcPr>
            <w:tcW w:w="2100" w:type="dxa"/>
            <w:vAlign w:val="bottom"/>
          </w:tcPr>
          <w:p>
            <w:pPr>
              <w:jc w:val="center"/>
              <w:ind w:right="1047"/>
              <w:spacing w:after="0"/>
              <w:rPr>
                <w:sz w:val="20"/>
                <w:szCs w:val="20"/>
                <w:color w:val="auto"/>
              </w:rPr>
            </w:pPr>
            <w:r>
              <w:rPr>
                <w:rFonts w:ascii="Times New Roman" w:cs="Times New Roman" w:eastAsia="Times New Roman" w:hAnsi="Times New Roman"/>
                <w:sz w:val="18"/>
                <w:szCs w:val="18"/>
                <w:color w:val="auto"/>
                <w:w w:val="98"/>
              </w:rPr>
              <w:t>(Commission</w:t>
            </w:r>
          </w:p>
        </w:tc>
        <w:tc>
          <w:tcPr>
            <w:tcW w:w="2460" w:type="dxa"/>
            <w:vAlign w:val="bottom"/>
          </w:tcPr>
          <w:p>
            <w:pPr>
              <w:jc w:val="center"/>
              <w:ind w:left="1047"/>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00" w:type="dxa"/>
            <w:vAlign w:val="bottom"/>
          </w:tcPr>
          <w:p>
            <w:pPr>
              <w:jc w:val="center"/>
              <w:ind w:right="1047"/>
              <w:spacing w:after="0"/>
              <w:rPr>
                <w:sz w:val="20"/>
                <w:szCs w:val="20"/>
                <w:color w:val="auto"/>
              </w:rPr>
            </w:pPr>
            <w:r>
              <w:rPr>
                <w:rFonts w:ascii="Times New Roman" w:cs="Times New Roman" w:eastAsia="Times New Roman" w:hAnsi="Times New Roman"/>
                <w:sz w:val="18"/>
                <w:szCs w:val="18"/>
                <w:color w:val="auto"/>
                <w:w w:val="98"/>
              </w:rPr>
              <w:t>File Number)</w:t>
            </w:r>
          </w:p>
        </w:tc>
        <w:tc>
          <w:tcPr>
            <w:tcW w:w="2460" w:type="dxa"/>
            <w:vAlign w:val="bottom"/>
          </w:tcPr>
          <w:p>
            <w:pPr>
              <w:jc w:val="center"/>
              <w:ind w:left="1047"/>
              <w:spacing w:after="0"/>
              <w:rPr>
                <w:sz w:val="20"/>
                <w:szCs w:val="20"/>
                <w:color w:val="auto"/>
              </w:rPr>
            </w:pPr>
            <w:r>
              <w:rPr>
                <w:rFonts w:ascii="Times New Roman" w:cs="Times New Roman" w:eastAsia="Times New Roman" w:hAnsi="Times New Roman"/>
                <w:sz w:val="18"/>
                <w:szCs w:val="18"/>
                <w:color w:val="auto"/>
                <w:w w:val="98"/>
              </w:rPr>
              <w:t>Identification No.)</w:t>
            </w:r>
          </w:p>
        </w:tc>
      </w:tr>
    </w:tbl>
    <w:p>
      <w:pPr>
        <w:spacing w:after="0" w:line="185" w:lineRule="exact"/>
        <w:rPr>
          <w:sz w:val="24"/>
          <w:szCs w:val="24"/>
          <w:color w:val="auto"/>
        </w:rPr>
      </w:pPr>
    </w:p>
    <w:p>
      <w:pPr>
        <w:sectPr>
          <w:pgSz w:w="11900" w:h="16838" w:orient="portrait"/>
          <w:cols w:equalWidth="0" w:num="2">
            <w:col w:w="4440" w:space="720"/>
            <w:col w:w="6020"/>
          </w:cols>
          <w:pgMar w:left="320" w:top="1440" w:right="39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2300 Windy Ridge Parkway, Tenth Floor, Atlanta, Georgia</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30339</w:t>
      </w:r>
    </w:p>
    <w:p>
      <w:pPr>
        <w:jc w:val="center"/>
        <w:ind w:right="-79"/>
        <w:spacing w:after="0"/>
        <w:rPr>
          <w:sz w:val="20"/>
          <w:szCs w:val="20"/>
          <w:color w:val="auto"/>
        </w:rPr>
      </w:pPr>
      <w:r>
        <w:rPr>
          <w:rFonts w:ascii="Times New Roman" w:cs="Times New Roman" w:eastAsia="Times New Roman" w:hAnsi="Times New Roman"/>
          <w:sz w:val="20"/>
          <w:szCs w:val="20"/>
          <w:color w:val="auto"/>
        </w:rPr>
        <w:t>(Address of Principal Executive Offices)</w:t>
      </w:r>
    </w:p>
    <w:p>
      <w:pPr>
        <w:jc w:val="center"/>
        <w:ind w:right="-79"/>
        <w:spacing w:after="0"/>
        <w:rPr>
          <w:sz w:val="20"/>
          <w:szCs w:val="20"/>
          <w:color w:val="auto"/>
        </w:rPr>
      </w:pPr>
      <w:r>
        <w:rPr>
          <w:rFonts w:ascii="Times New Roman" w:cs="Times New Roman" w:eastAsia="Times New Roman" w:hAnsi="Times New Roman"/>
          <w:sz w:val="20"/>
          <w:szCs w:val="20"/>
          <w:color w:val="auto"/>
        </w:rPr>
        <w:t>(Zip Code)</w:t>
      </w:r>
    </w:p>
    <w:p>
      <w:pPr>
        <w:spacing w:after="0" w:line="18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(770) 955-7070</w:t>
      </w:r>
    </w:p>
    <w:p>
      <w:pPr>
        <w:spacing w:after="0" w:line="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18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NONE</w:t>
      </w:r>
    </w:p>
    <w:p>
      <w:pPr>
        <w:spacing w:after="0" w:line="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ind w:left="580" w:hanging="475"/>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15" w:lineRule="exact"/>
        <w:rPr>
          <w:rFonts w:ascii="MS PGothic" w:cs="MS PGothic" w:eastAsia="MS PGothic" w:hAnsi="MS PGothic"/>
          <w:sz w:val="18"/>
          <w:szCs w:val="18"/>
          <w:color w:val="auto"/>
        </w:rPr>
      </w:pPr>
    </w:p>
    <w:p>
      <w:pPr>
        <w:ind w:left="580" w:hanging="475"/>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15" w:lineRule="exact"/>
        <w:rPr>
          <w:rFonts w:ascii="MS PGothic" w:cs="MS PGothic" w:eastAsia="MS PGothic" w:hAnsi="MS PGothic"/>
          <w:sz w:val="18"/>
          <w:szCs w:val="18"/>
          <w:color w:val="auto"/>
        </w:rPr>
      </w:pPr>
    </w:p>
    <w:p>
      <w:pPr>
        <w:ind w:left="580" w:hanging="475"/>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15" w:lineRule="exact"/>
        <w:rPr>
          <w:rFonts w:ascii="MS PGothic" w:cs="MS PGothic" w:eastAsia="MS PGothic" w:hAnsi="MS PGothic"/>
          <w:sz w:val="18"/>
          <w:szCs w:val="18"/>
          <w:color w:val="auto"/>
        </w:rPr>
      </w:pPr>
    </w:p>
    <w:p>
      <w:pPr>
        <w:ind w:right="3360" w:firstLine="105"/>
        <w:spacing w:after="0" w:line="527" w:lineRule="auto"/>
        <w:tabs>
          <w:tab w:leader="none" w:pos="57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84"/>
        </w:trPr>
        <w:tc>
          <w:tcPr>
            <w:tcW w:w="4300" w:type="dxa"/>
            <w:vAlign w:val="bottom"/>
            <w:tcBorders>
              <w:top w:val="single" w:sz="8" w:color="auto"/>
              <w:left w:val="single" w:sz="8" w:color="auto"/>
              <w:right w:val="single" w:sz="8" w:color="auto"/>
            </w:tcBorders>
          </w:tcPr>
          <w:p>
            <w:pPr>
              <w:spacing w:after="0"/>
              <w:rPr>
                <w:sz w:val="16"/>
                <w:szCs w:val="16"/>
                <w:color w:val="auto"/>
              </w:rPr>
            </w:pP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5060" w:type="dxa"/>
            <w:vAlign w:val="bottom"/>
            <w:tcBorders>
              <w:top w:val="single" w:sz="8" w:color="auto"/>
              <w:right w:val="single" w:sz="8" w:color="auto"/>
            </w:tcBorders>
          </w:tcPr>
          <w:p>
            <w:pPr>
              <w:spacing w:after="0"/>
              <w:rPr>
                <w:sz w:val="16"/>
                <w:szCs w:val="16"/>
                <w:color w:val="auto"/>
              </w:rPr>
            </w:pPr>
          </w:p>
        </w:tc>
      </w:tr>
      <w:tr>
        <w:trPr>
          <w:trHeight w:val="234"/>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5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1"/>
        </w:trPr>
        <w:tc>
          <w:tcPr>
            <w:tcW w:w="4300" w:type="dxa"/>
            <w:vAlign w:val="bottom"/>
            <w:tcBorders>
              <w:left w:val="single" w:sz="8" w:color="auto"/>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rPr>
              <w:t>Common stock</w:t>
            </w:r>
          </w:p>
        </w:tc>
        <w:tc>
          <w:tcPr>
            <w:tcW w:w="166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8"/>
              </w:rPr>
              <w:t>MANH</w:t>
            </w:r>
          </w:p>
        </w:tc>
        <w:tc>
          <w:tcPr>
            <w:tcW w:w="506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89"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760"/>
        <w:spacing w:after="0" w:line="184" w:lineRule="exact"/>
        <w:tabs>
          <w:tab w:leader="none" w:pos="268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27" w:lineRule="exact"/>
        <w:rPr>
          <w:sz w:val="24"/>
          <w:szCs w:val="24"/>
          <w:color w:val="auto"/>
        </w:rPr>
      </w:pPr>
    </w:p>
    <w:p>
      <w:pPr>
        <w:ind w:right="50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1" w:name="page2"/>
    <w:bookmarkEnd w:id="1"/>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33" w:lineRule="exact"/>
        <w:rPr>
          <w:sz w:val="20"/>
          <w:szCs w:val="20"/>
          <w:color w:val="auto"/>
        </w:rPr>
      </w:pPr>
    </w:p>
    <w:p>
      <w:pPr>
        <w:ind w:right="100" w:firstLine="749"/>
        <w:spacing w:after="0" w:line="249" w:lineRule="auto"/>
        <w:rPr>
          <w:sz w:val="20"/>
          <w:szCs w:val="20"/>
          <w:color w:val="auto"/>
        </w:rPr>
      </w:pPr>
      <w:r>
        <w:rPr>
          <w:rFonts w:ascii="Times New Roman" w:cs="Times New Roman" w:eastAsia="Times New Roman" w:hAnsi="Times New Roman"/>
          <w:sz w:val="20"/>
          <w:szCs w:val="20"/>
          <w:color w:val="auto"/>
        </w:rPr>
        <w:t>On January 27, 2026, Manhattan Associates, Inc. (“we”, “our”, or the “Company”) issued a press release providing its financial results for the three and twelve months ended December 31, 2025. A copy of this press release is attached as Exhibit 99.1. Pursuant to General Instruction B.2 of Form 8-K, this exhibit is “furnished” and not “filed” for purposes of Section 18 of the Securities Exchange Act of 1934.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Non-GAAP Financial Measures in the Press Release</w:t>
      </w:r>
    </w:p>
    <w:p>
      <w:pPr>
        <w:spacing w:after="0" w:line="220" w:lineRule="exact"/>
        <w:rPr>
          <w:sz w:val="20"/>
          <w:szCs w:val="20"/>
          <w:color w:val="auto"/>
        </w:rPr>
      </w:pPr>
    </w:p>
    <w:p>
      <w:pPr>
        <w:ind w:right="180" w:firstLine="749"/>
        <w:spacing w:after="0" w:line="249" w:lineRule="auto"/>
        <w:rPr>
          <w:sz w:val="20"/>
          <w:szCs w:val="20"/>
          <w:color w:val="auto"/>
        </w:rPr>
      </w:pPr>
      <w:r>
        <w:rPr>
          <w:rFonts w:ascii="Times New Roman" w:cs="Times New Roman" w:eastAsia="Times New Roman" w:hAnsi="Times New Roman"/>
          <w:sz w:val="20"/>
          <w:szCs w:val="20"/>
          <w:color w:val="auto"/>
        </w:rPr>
        <w:t>The press release includes, as additional information regarding our operating results, our adjusted operating income and margin, adjusted income tax provision, adjusted net income and adjusted diluted earnings per share (collectively, “adjusted results”), which exclude the impact of equity-based compensation, expense related to an unusual health insurance claim, net of insurance recoveries, restructuring expense, and related income tax effects.</w:t>
      </w:r>
    </w:p>
    <w:p>
      <w:pPr>
        <w:spacing w:after="0" w:line="180" w:lineRule="exact"/>
        <w:rPr>
          <w:sz w:val="20"/>
          <w:szCs w:val="20"/>
          <w:color w:val="auto"/>
        </w:rPr>
      </w:pPr>
    </w:p>
    <w:p>
      <w:pPr>
        <w:ind w:right="60" w:firstLine="749"/>
        <w:spacing w:after="0" w:line="249" w:lineRule="auto"/>
        <w:rPr>
          <w:sz w:val="20"/>
          <w:szCs w:val="20"/>
          <w:color w:val="auto"/>
        </w:rPr>
      </w:pPr>
      <w:r>
        <w:rPr>
          <w:rFonts w:ascii="Times New Roman" w:cs="Times New Roman" w:eastAsia="Times New Roman" w:hAnsi="Times New Roman"/>
          <w:sz w:val="20"/>
          <w:szCs w:val="20"/>
          <w:color w:val="auto"/>
        </w:rPr>
        <w:t>These various measures are not in accordance with, or alternatives for, financial measures calculated in accordance with generally accepted accounting principles in the United States (“GAAP”) and may be different from similarly titled non-GAAP financial measures used by other companies. Non-GAAP financial measures should not be used as a substitute for, or considered superior to, measures of financial performance prepared in accordance with GAAP.</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Non-GAAP measures used in the press release exclude the impact of the items described above for the following reasons:</w:t>
      </w:r>
    </w:p>
    <w:p>
      <w:pPr>
        <w:spacing w:after="0" w:line="104" w:lineRule="exact"/>
        <w:rPr>
          <w:sz w:val="20"/>
          <w:szCs w:val="20"/>
          <w:color w:val="auto"/>
        </w:rPr>
      </w:pPr>
    </w:p>
    <w:p>
      <w:pPr>
        <w:jc w:val="both"/>
        <w:ind w:left="1020" w:right="240" w:hanging="503"/>
        <w:spacing w:after="0" w:line="276" w:lineRule="auto"/>
        <w:tabs>
          <w:tab w:leader="none" w:pos="102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Equity-Based Compensation</w:t>
      </w:r>
      <w:r>
        <w:rPr>
          <w:rFonts w:ascii="Times New Roman" w:cs="Times New Roman" w:eastAsia="Times New Roman" w:hAnsi="Times New Roman"/>
          <w:sz w:val="19"/>
          <w:szCs w:val="19"/>
          <w:color w:val="auto"/>
        </w:rPr>
        <w:t>: Equity-based compensation expense typically does not require cash settlement by the Company.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We also exclude the tax benefits or deficiencies of vested stock awards caused by differences in the amount deductible for tax purposes related to the stock award from the compensation expense recorded for financial reporting purposes.</w:t>
      </w:r>
    </w:p>
    <w:p>
      <w:pPr>
        <w:spacing w:after="0" w:line="42" w:lineRule="exact"/>
        <w:rPr>
          <w:rFonts w:ascii="Times New Roman" w:cs="Times New Roman" w:eastAsia="Times New Roman" w:hAnsi="Times New Roman"/>
          <w:sz w:val="19"/>
          <w:szCs w:val="19"/>
          <w:color w:val="auto"/>
        </w:rPr>
      </w:pPr>
    </w:p>
    <w:p>
      <w:pPr>
        <w:ind w:left="102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Unusual Health Insurance Claim, Net of Insurance Recoveries</w:t>
      </w:r>
      <w:r>
        <w:rPr>
          <w:rFonts w:ascii="Times New Roman" w:cs="Times New Roman" w:eastAsia="Times New Roman" w:hAnsi="Times New Roman"/>
          <w:sz w:val="20"/>
          <w:szCs w:val="20"/>
          <w:color w:val="auto"/>
        </w:rPr>
        <w:t>: Due to the uncommonly large magnitude and nature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health insurance claim and timing of related insurance recoveries, we do not believe that this expense is a typical cost that results from normal operating activities.</w:t>
      </w:r>
    </w:p>
    <w:p>
      <w:pPr>
        <w:spacing w:after="0" w:line="60" w:lineRule="exact"/>
        <w:rPr>
          <w:rFonts w:ascii="Times New Roman" w:cs="Times New Roman" w:eastAsia="Times New Roman" w:hAnsi="Times New Roman"/>
          <w:sz w:val="20"/>
          <w:szCs w:val="20"/>
          <w:color w:val="auto"/>
        </w:rPr>
      </w:pPr>
    </w:p>
    <w:p>
      <w:pPr>
        <w:ind w:left="1020" w:right="44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Restructuring Expense</w:t>
      </w:r>
      <w:r>
        <w:rPr>
          <w:rFonts w:ascii="Times New Roman" w:cs="Times New Roman" w:eastAsia="Times New Roman" w:hAnsi="Times New Roman"/>
          <w:sz w:val="20"/>
          <w:szCs w:val="20"/>
          <w:color w:val="auto"/>
        </w:rPr>
        <w:t>: We do not believe that the restructuring expense related to a reduction in our workforce recorded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2025 is a common cost that results from normal operating activities; rather, it relates to aligning our services capacity with customer demand which has been impacted by macro-economic uncertainty.</w:t>
      </w:r>
    </w:p>
    <w:p>
      <w:pPr>
        <w:spacing w:after="0" w:line="173" w:lineRule="exact"/>
        <w:rPr>
          <w:sz w:val="20"/>
          <w:szCs w:val="20"/>
          <w:color w:val="auto"/>
        </w:rPr>
      </w:pPr>
    </w:p>
    <w:p>
      <w:pPr>
        <w:jc w:val="both"/>
        <w:ind w:right="80" w:firstLine="749"/>
        <w:spacing w:after="0" w:line="254" w:lineRule="auto"/>
        <w:rPr>
          <w:sz w:val="20"/>
          <w:szCs w:val="20"/>
          <w:color w:val="auto"/>
        </w:rPr>
      </w:pPr>
      <w:r>
        <w:rPr>
          <w:rFonts w:ascii="Times New Roman" w:cs="Times New Roman" w:eastAsia="Times New Roman" w:hAnsi="Times New Roman"/>
          <w:sz w:val="20"/>
          <w:szCs w:val="20"/>
          <w:color w:val="auto"/>
        </w:rPr>
        <w:t>We assess our operating performance using these adjusted measures, and we rely on adjusted results as primary measures to review and assess the operating performance of our management team in connection with our executive compensation and bonus plans. Further, we believe our peers also typically present non-GAAP results similarly adjusted.</w:t>
      </w:r>
    </w:p>
    <w:p>
      <w:pPr>
        <w:spacing w:after="0" w:line="174" w:lineRule="exact"/>
        <w:rPr>
          <w:sz w:val="20"/>
          <w:szCs w:val="20"/>
          <w:color w:val="auto"/>
        </w:rPr>
      </w:pPr>
    </w:p>
    <w:p>
      <w:pPr>
        <w:ind w:right="100" w:firstLine="749"/>
        <w:spacing w:after="0" w:line="249" w:lineRule="auto"/>
        <w:rPr>
          <w:sz w:val="20"/>
          <w:szCs w:val="20"/>
          <w:color w:val="auto"/>
        </w:rPr>
      </w:pPr>
      <w:r>
        <w:rPr>
          <w:rFonts w:ascii="Times New Roman" w:cs="Times New Roman" w:eastAsia="Times New Roman" w:hAnsi="Times New Roman"/>
          <w:sz w:val="20"/>
          <w:szCs w:val="20"/>
          <w:color w:val="auto"/>
        </w:rPr>
        <w:t>Management refers to adjusted results in making operating decisions because we believe they provide meaningful information regarding our operational performance and our ability to invest in research and development and fund capital expenditures and acquisitions. In addition, adjusted results facilitate management’s internal comparisons to our historical operating results and comparisons to competitors’ operating results.</w:t>
      </w:r>
    </w:p>
    <w:p>
      <w:pPr>
        <w:spacing w:after="0" w:line="180" w:lineRule="exact"/>
        <w:rPr>
          <w:sz w:val="20"/>
          <w:szCs w:val="20"/>
          <w:color w:val="auto"/>
        </w:rPr>
      </w:pPr>
    </w:p>
    <w:p>
      <w:pPr>
        <w:jc w:val="both"/>
        <w:ind w:right="400" w:firstLine="749"/>
        <w:spacing w:after="0" w:line="248" w:lineRule="auto"/>
        <w:rPr>
          <w:sz w:val="20"/>
          <w:szCs w:val="20"/>
          <w:color w:val="auto"/>
        </w:rPr>
      </w:pPr>
      <w:r>
        <w:rPr>
          <w:rFonts w:ascii="Times New Roman" w:cs="Times New Roman" w:eastAsia="Times New Roman" w:hAnsi="Times New Roman"/>
          <w:sz w:val="20"/>
          <w:szCs w:val="20"/>
          <w:color w:val="auto"/>
        </w:rPr>
        <w:t>We similarly believe reporting adjusted results facilitates investors’ understanding of our historical operating trends because it provides supplemental measurement information in evaluating the operating results of our business. We also believe that adjusted results provide a basis for comparisons to other</w:t>
      </w: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right="360"/>
        <w:spacing w:after="0" w:line="269" w:lineRule="auto"/>
        <w:rPr>
          <w:sz w:val="20"/>
          <w:szCs w:val="20"/>
          <w:color w:val="auto"/>
        </w:rPr>
      </w:pPr>
      <w:r>
        <w:rPr>
          <w:rFonts w:ascii="Times New Roman" w:cs="Times New Roman" w:eastAsia="Times New Roman" w:hAnsi="Times New Roman"/>
          <w:sz w:val="20"/>
          <w:szCs w:val="20"/>
          <w:color w:val="auto"/>
        </w:rPr>
        <w:t>companies in the industry and enable investors to evaluate our operating performance in a manner consistent with our internal basis of measurement.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20" w:lineRule="exact"/>
        <w:rPr>
          <w:sz w:val="20"/>
          <w:szCs w:val="20"/>
          <w:color w:val="auto"/>
        </w:rPr>
      </w:pPr>
    </w:p>
    <w:p>
      <w:pPr>
        <w:ind w:left="2020" w:hanging="794"/>
        <w:spacing w:after="0"/>
        <w:tabs>
          <w:tab w:leader="none" w:pos="2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212" w:lineRule="exact"/>
        <w:rPr>
          <w:sz w:val="20"/>
          <w:szCs w:val="20"/>
          <w:color w:val="auto"/>
        </w:rPr>
      </w:pPr>
    </w:p>
    <w:tbl>
      <w:tblPr>
        <w:tblLayout w:type="fixed"/>
        <w:tblInd w:w="1900" w:type="dxa"/>
        <w:tblCellMar>
          <w:top w:w="0" w:type="dxa"/>
          <w:left w:w="0" w:type="dxa"/>
          <w:bottom w:w="0" w:type="dxa"/>
          <w:right w:w="0" w:type="dxa"/>
        </w:tblCellMar>
      </w:tblPr>
      <w:tr>
        <w:trPr>
          <w:trHeight w:val="262"/>
        </w:trPr>
        <w:tc>
          <w:tcPr>
            <w:tcW w:w="16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9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280" w:type="dxa"/>
            <w:vAlign w:val="bottom"/>
          </w:tcPr>
          <w:p>
            <w:pPr>
              <w:spacing w:after="0"/>
              <w:rPr>
                <w:sz w:val="22"/>
                <w:szCs w:val="22"/>
                <w:color w:val="auto"/>
              </w:rPr>
            </w:pPr>
          </w:p>
        </w:tc>
      </w:tr>
      <w:tr>
        <w:trPr>
          <w:trHeight w:val="223"/>
        </w:trPr>
        <w:tc>
          <w:tcPr>
            <w:tcW w:w="1600" w:type="dxa"/>
            <w:vAlign w:val="bottom"/>
            <w:gridSpan w:val="2"/>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Number</w:t>
            </w:r>
          </w:p>
        </w:tc>
        <w:tc>
          <w:tcPr>
            <w:tcW w:w="6360" w:type="dxa"/>
            <w:vAlign w:val="bottom"/>
            <w:gridSpan w:val="3"/>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453"/>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99.1</w:t>
            </w:r>
          </w:p>
        </w:tc>
        <w:tc>
          <w:tcPr>
            <w:tcW w:w="900" w:type="dxa"/>
            <w:vAlign w:val="bottom"/>
          </w:tcPr>
          <w:p>
            <w:pPr>
              <w:spacing w:after="0"/>
              <w:rPr>
                <w:sz w:val="24"/>
                <w:szCs w:val="24"/>
                <w:color w:val="auto"/>
              </w:rPr>
            </w:pPr>
          </w:p>
        </w:tc>
        <w:tc>
          <w:tcPr>
            <w:tcW w:w="30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20"/>
                <w:szCs w:val="20"/>
                <w:color w:val="0000FF"/>
              </w:rPr>
              <w:t>Press Release, dated January 27, 2026</w:t>
            </w:r>
          </w:p>
        </w:tc>
        <w:tc>
          <w:tcPr>
            <w:tcW w:w="3280" w:type="dxa"/>
            <w:vAlign w:val="bottom"/>
          </w:tcPr>
          <w:p>
            <w:pPr>
              <w:spacing w:after="0"/>
              <w:rPr>
                <w:sz w:val="24"/>
                <w:szCs w:val="24"/>
                <w:color w:val="auto"/>
              </w:rPr>
            </w:pPr>
          </w:p>
        </w:tc>
      </w:tr>
      <w:tr>
        <w:trPr>
          <w:trHeight w:val="513"/>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00" w:type="dxa"/>
            <w:vAlign w:val="bottom"/>
          </w:tcPr>
          <w:p>
            <w:pPr>
              <w:spacing w:after="0"/>
              <w:rPr>
                <w:sz w:val="24"/>
                <w:szCs w:val="24"/>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Company has duly caused this report to be signed on its behalf by the undersigned, hereunto duly authorized.</w:t>
      </w:r>
    </w:p>
    <w:p>
      <w:pPr>
        <w:spacing w:after="0" w:line="16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anhattan</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ssociates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w:t>
      </w:r>
      <w:r>
        <w:rPr>
          <w:rFonts w:ascii="Times New Roman" w:cs="Times New Roman" w:eastAsia="Times New Roman" w:hAnsi="Times New Roman"/>
          <w:sz w:val="20"/>
          <w:szCs w:val="20"/>
          <w:color w:val="auto"/>
        </w:rPr>
        <w:t xml:space="preserve"> Dennis B. 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-8255</wp:posOffset>
            </wp:positionV>
            <wp:extent cx="2079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9625" cy="8255"/>
                    </a:xfrm>
                    <a:prstGeom prst="rect">
                      <a:avLst/>
                    </a:prstGeom>
                    <a:noFill/>
                  </pic:spPr>
                </pic:pic>
              </a:graphicData>
            </a:graphic>
          </wp:anchor>
        </w:drawing>
      </w:r>
    </w:p>
    <w:p>
      <w:pPr>
        <w:spacing w:after="0" w:line="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i w:val="1"/>
          <w:iCs w:val="1"/>
          <w:color w:val="auto"/>
        </w:rPr>
        <w:t>Dennis B. Story</w:t>
      </w:r>
    </w:p>
    <w:p>
      <w:pPr>
        <w:ind w:left="3560"/>
        <w:spacing w:after="0"/>
        <w:rPr>
          <w:sz w:val="20"/>
          <w:szCs w:val="20"/>
          <w:color w:val="auto"/>
        </w:rPr>
      </w:pPr>
      <w:r>
        <w:rPr>
          <w:rFonts w:ascii="Times New Roman" w:cs="Times New Roman" w:eastAsia="Times New Roman" w:hAnsi="Times New Roman"/>
          <w:sz w:val="20"/>
          <w:szCs w:val="20"/>
          <w:color w:val="auto"/>
        </w:rPr>
        <w:t>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January 27, 2026</w:t>
      </w:r>
    </w:p>
    <w:p>
      <w:pPr>
        <w:spacing w:after="0" w:line="2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97" w:right="57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0840"/>
          </w:cols>
          <w:pgMar w:left="720" w:top="76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480"/>
        <w:spacing w:after="0"/>
        <w:rPr>
          <w:sz w:val="20"/>
          <w:szCs w:val="20"/>
          <w:color w:val="auto"/>
        </w:rPr>
      </w:pPr>
      <w:r>
        <w:rPr>
          <w:rFonts w:ascii="Arial" w:cs="Arial" w:eastAsia="Arial" w:hAnsi="Arial"/>
          <w:sz w:val="22"/>
          <w:szCs w:val="22"/>
          <w:color w:val="auto"/>
        </w:rPr>
        <w:t xml:space="preserve">Michael Bauer Senior Director, Investor Relations Manhattan Associates, Inc. 678-597-7538 </w:t>
      </w:r>
      <w:r>
        <w:rPr>
          <w:rFonts w:ascii="Arial" w:cs="Arial" w:eastAsia="Arial" w:hAnsi="Arial"/>
          <w:sz w:val="22"/>
          <w:szCs w:val="22"/>
          <w:color w:val="0033CC"/>
        </w:rPr>
        <w:t>mbauer@manh.com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Devika Goel</w:t>
      </w:r>
    </w:p>
    <w:p>
      <w:pPr>
        <w:spacing w:after="0"/>
        <w:rPr>
          <w:sz w:val="20"/>
          <w:szCs w:val="20"/>
          <w:color w:val="auto"/>
        </w:rPr>
      </w:pPr>
      <w:r>
        <w:rPr>
          <w:rFonts w:ascii="Arial" w:cs="Arial" w:eastAsia="Arial" w:hAnsi="Arial"/>
          <w:sz w:val="22"/>
          <w:szCs w:val="22"/>
          <w:color w:val="auto"/>
        </w:rPr>
        <w:t>Senior Manager,</w:t>
      </w:r>
    </w:p>
    <w:p>
      <w:pPr>
        <w:spacing w:after="0" w:line="230" w:lineRule="auto"/>
        <w:rPr>
          <w:sz w:val="20"/>
          <w:szCs w:val="20"/>
          <w:color w:val="auto"/>
        </w:rPr>
      </w:pPr>
      <w:r>
        <w:rPr>
          <w:rFonts w:ascii="Arial" w:cs="Arial" w:eastAsia="Arial" w:hAnsi="Arial"/>
          <w:sz w:val="22"/>
          <w:szCs w:val="22"/>
          <w:color w:val="auto"/>
        </w:rPr>
        <w:t>Public Relations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Manhattan Associates, Inc.</w:t>
      </w:r>
    </w:p>
    <w:p>
      <w:pPr>
        <w:spacing w:after="0" w:line="231" w:lineRule="auto"/>
        <w:rPr>
          <w:sz w:val="20"/>
          <w:szCs w:val="20"/>
          <w:color w:val="auto"/>
        </w:rPr>
      </w:pPr>
      <w:r>
        <w:rPr>
          <w:rFonts w:ascii="Arial" w:cs="Arial" w:eastAsia="Arial" w:hAnsi="Arial"/>
          <w:sz w:val="22"/>
          <w:szCs w:val="22"/>
          <w:color w:val="auto"/>
        </w:rPr>
        <w:t>678-597-6754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033CC"/>
        </w:rPr>
        <w:t>dgoel@manh.com</w:t>
      </w:r>
    </w:p>
    <w:p>
      <w:pPr>
        <w:spacing w:after="0" w:line="200" w:lineRule="exact"/>
        <w:rPr>
          <w:sz w:val="20"/>
          <w:szCs w:val="20"/>
          <w:color w:val="auto"/>
        </w:rPr>
      </w:pPr>
    </w:p>
    <w:p>
      <w:pPr>
        <w:sectPr>
          <w:pgSz w:w="11900" w:h="16838" w:orient="portrait"/>
          <w:cols w:equalWidth="0" w:num="3">
            <w:col w:w="1160" w:space="360"/>
            <w:col w:w="3060" w:space="720"/>
            <w:col w:w="5540"/>
          </w:cols>
          <w:pgMar w:left="720" w:top="769" w:right="339" w:bottom="1440" w:gutter="0" w:footer="0" w:header="0"/>
          <w:type w:val="continuous"/>
        </w:sectPr>
      </w:pPr>
    </w:p>
    <w:p>
      <w:pPr>
        <w:spacing w:after="0" w:line="285" w:lineRule="exact"/>
        <w:rPr>
          <w:sz w:val="20"/>
          <w:szCs w:val="20"/>
          <w:color w:val="auto"/>
        </w:rPr>
      </w:pPr>
    </w:p>
    <w:p>
      <w:pPr>
        <w:jc w:val="center"/>
        <w:ind w:right="460"/>
        <w:spacing w:after="0"/>
        <w:rPr>
          <w:sz w:val="20"/>
          <w:szCs w:val="20"/>
          <w:color w:val="auto"/>
        </w:rPr>
      </w:pPr>
      <w:r>
        <w:rPr>
          <w:rFonts w:ascii="Arial" w:cs="Arial" w:eastAsia="Arial" w:hAnsi="Arial"/>
          <w:sz w:val="25"/>
          <w:szCs w:val="25"/>
          <w:b w:val="1"/>
          <w:bCs w:val="1"/>
          <w:color w:val="auto"/>
        </w:rPr>
        <w:t>Manhattan Associates Reports Fourth Quarter Results</w:t>
      </w:r>
    </w:p>
    <w:p>
      <w:pPr>
        <w:spacing w:after="0" w:line="118"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RPO Bookings Increased 25% over Prior Year</w:t>
      </w:r>
    </w:p>
    <w:p>
      <w:pPr>
        <w:spacing w:after="0" w:line="310" w:lineRule="exact"/>
        <w:rPr>
          <w:sz w:val="20"/>
          <w:szCs w:val="20"/>
          <w:color w:val="auto"/>
        </w:rPr>
      </w:pPr>
    </w:p>
    <w:p>
      <w:pPr>
        <w:ind w:left="360" w:right="1000"/>
        <w:spacing w:after="0" w:line="235" w:lineRule="auto"/>
        <w:rPr>
          <w:sz w:val="20"/>
          <w:szCs w:val="20"/>
          <w:color w:val="auto"/>
        </w:rPr>
      </w:pPr>
      <w:r>
        <w:rPr>
          <w:rFonts w:ascii="Arial" w:cs="Arial" w:eastAsia="Arial" w:hAnsi="Arial"/>
          <w:sz w:val="20"/>
          <w:szCs w:val="20"/>
          <w:b w:val="1"/>
          <w:bCs w:val="1"/>
          <w:color w:val="auto"/>
        </w:rPr>
        <w:t xml:space="preserve">ATLANTA – January 27, 2026 – </w:t>
      </w:r>
      <w:r>
        <w:rPr>
          <w:rFonts w:ascii="Arial" w:cs="Arial" w:eastAsia="Arial" w:hAnsi="Arial"/>
          <w:sz w:val="20"/>
          <w:szCs w:val="20"/>
          <w:color w:val="auto"/>
        </w:rPr>
        <w:t>Leading Supply Chain and Omnichannel Commerce Solutions provider</w:t>
      </w:r>
      <w:r>
        <w:rPr>
          <w:rFonts w:ascii="Arial" w:cs="Arial" w:eastAsia="Arial" w:hAnsi="Arial"/>
          <w:sz w:val="20"/>
          <w:szCs w:val="20"/>
          <w:b w:val="1"/>
          <w:bCs w:val="1"/>
          <w:color w:val="auto"/>
        </w:rPr>
        <w:t xml:space="preserve"> </w:t>
      </w:r>
      <w:r>
        <w:rPr>
          <w:rFonts w:ascii="Arial" w:cs="Arial" w:eastAsia="Arial" w:hAnsi="Arial"/>
          <w:sz w:val="20"/>
          <w:szCs w:val="20"/>
          <w:color w:val="auto"/>
        </w:rPr>
        <w:t>Manhattan Associates Inc. (NASDAQ: MANH) today reported revenue of $ 270.4 million for the fourth quarter ended December 31, 2025, compared to $255.8 million in Q4 2024. GAAP diluted earnings per share for Q4 2025 was $0.86 compared to $0.77 in Q4 2024. Non-GAAP adjusted diluted earnings per share for Q4 2025 was $1.21 compared to $1.17 in Q4 2024.</w:t>
      </w:r>
    </w:p>
    <w:p>
      <w:pPr>
        <w:spacing w:after="0" w:line="172" w:lineRule="exact"/>
        <w:rPr>
          <w:sz w:val="20"/>
          <w:szCs w:val="20"/>
          <w:color w:val="auto"/>
        </w:rPr>
      </w:pPr>
    </w:p>
    <w:p>
      <w:pPr>
        <w:ind w:left="360" w:right="820" w:hanging="14"/>
        <w:spacing w:after="0" w:line="241" w:lineRule="auto"/>
        <w:rPr>
          <w:sz w:val="20"/>
          <w:szCs w:val="20"/>
          <w:color w:val="auto"/>
        </w:rPr>
      </w:pPr>
      <w:r>
        <w:rPr>
          <w:rFonts w:ascii="Arial" w:cs="Arial" w:eastAsia="Arial" w:hAnsi="Arial"/>
          <w:sz w:val="20"/>
          <w:szCs w:val="20"/>
          <w:color w:val="auto"/>
        </w:rPr>
        <w:t>“Manhattan's business momentum continues to strengthen. We delivered record fourth quarter cloud bookings, and our industry leading solutions are gaining market share,” said Manhattan Associates president and CEO Eric Clark.</w:t>
      </w:r>
    </w:p>
    <w:p>
      <w:pPr>
        <w:spacing w:after="0" w:line="171" w:lineRule="exact"/>
        <w:rPr>
          <w:sz w:val="20"/>
          <w:szCs w:val="20"/>
          <w:color w:val="auto"/>
        </w:rPr>
      </w:pPr>
    </w:p>
    <w:p>
      <w:pPr>
        <w:ind w:left="360" w:right="840" w:hanging="14"/>
        <w:spacing w:after="0" w:line="237" w:lineRule="auto"/>
        <w:rPr>
          <w:sz w:val="20"/>
          <w:szCs w:val="20"/>
          <w:color w:val="auto"/>
        </w:rPr>
      </w:pPr>
      <w:r>
        <w:rPr>
          <w:rFonts w:ascii="Arial" w:cs="Arial" w:eastAsia="Arial" w:hAnsi="Arial"/>
          <w:sz w:val="20"/>
          <w:szCs w:val="20"/>
          <w:color w:val="auto"/>
        </w:rPr>
        <w:t>“Manhattan enters 2026 with an expanded go-to-market footprint and numerous opportunities to drive growth from new and existing customers. Our global team is dedicated to our customers’ success, and we are excited for our newly released AI agents to help deliver optimal results for our entire Active customer community,” Mr. Clark concluded.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2025 FINANCIAL SUMMARY:</w:t>
      </w:r>
    </w:p>
    <w:p>
      <w:pPr>
        <w:spacing w:after="0" w:line="204" w:lineRule="exact"/>
        <w:rPr>
          <w:sz w:val="20"/>
          <w:szCs w:val="20"/>
          <w:color w:val="auto"/>
        </w:rPr>
      </w:pPr>
    </w:p>
    <w:p>
      <w:pPr>
        <w:ind w:left="1080" w:hanging="349"/>
        <w:spacing w:after="0"/>
        <w:tabs>
          <w:tab w:leader="none" w:pos="108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Consolidated total revenue was $270.4 million for Q4 2025, compared to $255.8 million for Q4 2024.</w:t>
      </w:r>
    </w:p>
    <w:p>
      <w:pPr>
        <w:spacing w:after="0" w:line="107" w:lineRule="exact"/>
        <w:rPr>
          <w:sz w:val="20"/>
          <w:szCs w:val="20"/>
          <w:color w:val="auto"/>
        </w:rPr>
      </w:pPr>
    </w:p>
    <w:p>
      <w:pPr>
        <w:ind w:left="1640" w:right="1040" w:hanging="347"/>
        <w:spacing w:after="0" w:line="256" w:lineRule="auto"/>
        <w:tabs>
          <w:tab w:leader="none" w:pos="164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Cloud subscription revenue was $108.6 million for Q4 2025, compared to $90.3 million for Q4 2024.</w:t>
      </w:r>
    </w:p>
    <w:p>
      <w:pPr>
        <w:spacing w:after="0" w:line="48" w:lineRule="exact"/>
        <w:rPr>
          <w:rFonts w:ascii="Times New Roman" w:cs="Times New Roman" w:eastAsia="Times New Roman" w:hAnsi="Times New Roman"/>
          <w:sz w:val="20"/>
          <w:szCs w:val="20"/>
          <w:color w:val="auto"/>
        </w:rPr>
      </w:pPr>
    </w:p>
    <w:p>
      <w:pPr>
        <w:ind w:left="1640" w:hanging="347"/>
        <w:spacing w:after="0"/>
        <w:tabs>
          <w:tab w:leader="none" w:pos="164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License revenue was $2.6 million for Q4 2025, compared to $5.5 million for Q4 2024.</w:t>
      </w:r>
    </w:p>
    <w:p>
      <w:pPr>
        <w:spacing w:after="0" w:line="106" w:lineRule="exact"/>
        <w:rPr>
          <w:rFonts w:ascii="Times New Roman" w:cs="Times New Roman" w:eastAsia="Times New Roman" w:hAnsi="Times New Roman"/>
          <w:sz w:val="20"/>
          <w:szCs w:val="20"/>
          <w:color w:val="auto"/>
        </w:rPr>
      </w:pPr>
    </w:p>
    <w:p>
      <w:pPr>
        <w:ind w:left="1640" w:hanging="347"/>
        <w:spacing w:after="0"/>
        <w:tabs>
          <w:tab w:leader="none" w:pos="164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Services revenue was $120.0 million for Q4 2025, compared to $119.5 million for Q4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1191895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231140</wp:posOffset>
            </wp:positionH>
            <wp:positionV relativeFrom="paragraph">
              <wp:posOffset>81280</wp:posOffset>
            </wp:positionV>
            <wp:extent cx="6172200" cy="643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643255"/>
                    </a:xfrm>
                    <a:prstGeom prst="rect">
                      <a:avLst/>
                    </a:prstGeom>
                    <a:noFill/>
                  </pic:spPr>
                </pic:pic>
              </a:graphicData>
            </a:graphic>
          </wp:anchor>
        </w:drawing>
      </w:r>
    </w:p>
    <w:p>
      <w:pPr>
        <w:sectPr>
          <w:pgSz w:w="11900" w:h="16838" w:orient="portrait"/>
          <w:cols w:equalWidth="0" w:num="1">
            <w:col w:w="10840"/>
          </w:cols>
          <w:pgMar w:left="720" w:top="769" w:right="339" w:bottom="1440" w:gutter="0" w:footer="0" w:header="0"/>
          <w:type w:val="continuous"/>
        </w:sectPr>
      </w:pPr>
    </w:p>
    <w:bookmarkStart w:id="4" w:name="page5"/>
    <w:bookmarkEnd w:id="4"/>
    <w:p>
      <w:pPr>
        <w:ind w:left="1480" w:hanging="349"/>
        <w:spacing w:after="0"/>
        <w:tabs>
          <w:tab w:leader="none" w:pos="148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GAAP diluted earnings per share was $0.86 for Q4 2025, compared to $0.77 for Q4 2024.</w:t>
      </w:r>
    </w:p>
    <w:p>
      <w:pPr>
        <w:spacing w:after="0" w:line="105" w:lineRule="exact"/>
        <w:rPr>
          <w:sz w:val="20"/>
          <w:szCs w:val="20"/>
          <w:color w:val="auto"/>
        </w:rPr>
      </w:pPr>
    </w:p>
    <w:p>
      <w:pPr>
        <w:ind w:left="1500" w:right="440" w:firstLine="21"/>
        <w:spacing w:after="0" w:line="271" w:lineRule="auto"/>
        <w:rPr>
          <w:sz w:val="20"/>
          <w:szCs w:val="20"/>
          <w:color w:val="auto"/>
        </w:rPr>
      </w:pPr>
      <w:r>
        <w:rPr>
          <w:rFonts w:ascii="Arial" w:cs="Arial" w:eastAsia="Arial" w:hAnsi="Arial"/>
          <w:sz w:val="20"/>
          <w:szCs w:val="20"/>
          <w:color w:val="auto"/>
        </w:rPr>
        <w:t>Adjusted diluted earnings per share, a non-GAAP measure, was $1.21 for Q4 2025, compared to $1.17 for Q4 2024.</w:t>
      </w:r>
    </w:p>
    <w:p>
      <w:pPr>
        <w:spacing w:after="0" w:line="34"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GAAP operating income was $67.0 million for Q4 2025, compared to $60.7 million for Q4 2024.</w:t>
      </w:r>
    </w:p>
    <w:p>
      <w:pPr>
        <w:spacing w:after="0" w:line="107" w:lineRule="exact"/>
        <w:rPr>
          <w:sz w:val="20"/>
          <w:szCs w:val="20"/>
          <w:color w:val="auto"/>
        </w:rPr>
      </w:pPr>
    </w:p>
    <w:p>
      <w:pPr>
        <w:ind w:left="1500" w:right="40" w:firstLine="21"/>
        <w:spacing w:after="0" w:line="271" w:lineRule="auto"/>
        <w:rPr>
          <w:sz w:val="20"/>
          <w:szCs w:val="20"/>
          <w:color w:val="auto"/>
        </w:rPr>
      </w:pPr>
      <w:r>
        <w:rPr>
          <w:rFonts w:ascii="Arial" w:cs="Arial" w:eastAsia="Arial" w:hAnsi="Arial"/>
          <w:sz w:val="20"/>
          <w:szCs w:val="20"/>
          <w:color w:val="auto"/>
        </w:rPr>
        <w:t>Adjusted operating income, a non-GAAP measure, was $91.4 million for Q4 2025, compared to $90.3 million for Q4 2024.</w:t>
      </w:r>
    </w:p>
    <w:p>
      <w:pPr>
        <w:spacing w:after="0" w:line="34" w:lineRule="exact"/>
        <w:rPr>
          <w:sz w:val="20"/>
          <w:szCs w:val="20"/>
          <w:color w:val="auto"/>
        </w:rPr>
      </w:pPr>
    </w:p>
    <w:p>
      <w:pPr>
        <w:ind w:left="1500" w:right="200" w:firstLine="21"/>
        <w:spacing w:after="0" w:line="298" w:lineRule="auto"/>
        <w:rPr>
          <w:sz w:val="20"/>
          <w:szCs w:val="20"/>
          <w:color w:val="auto"/>
        </w:rPr>
      </w:pPr>
      <w:r>
        <w:rPr>
          <w:rFonts w:ascii="Arial" w:cs="Arial" w:eastAsia="Arial" w:hAnsi="Arial"/>
          <w:sz w:val="19"/>
          <w:szCs w:val="19"/>
          <w:color w:val="auto"/>
        </w:rPr>
        <w:t>Cash flow from operations was $147.0 million for Q4 2025, compared to $104.7 million for Q4 2024. Days Sales Outstanding was 73 days at both December 31, 2025 and at September 30, 2025.</w:t>
      </w:r>
    </w:p>
    <w:p>
      <w:pPr>
        <w:spacing w:after="0" w:line="10" w:lineRule="exact"/>
        <w:rPr>
          <w:sz w:val="20"/>
          <w:szCs w:val="20"/>
          <w:color w:val="auto"/>
        </w:rPr>
      </w:pPr>
    </w:p>
    <w:p>
      <w:pPr>
        <w:ind w:left="1500" w:right="460" w:firstLine="21"/>
        <w:spacing w:after="0" w:line="271" w:lineRule="auto"/>
        <w:rPr>
          <w:sz w:val="20"/>
          <w:szCs w:val="20"/>
          <w:color w:val="auto"/>
        </w:rPr>
      </w:pPr>
      <w:r>
        <w:rPr>
          <w:rFonts w:ascii="Arial" w:cs="Arial" w:eastAsia="Arial" w:hAnsi="Arial"/>
          <w:sz w:val="20"/>
          <w:szCs w:val="20"/>
          <w:color w:val="auto"/>
        </w:rPr>
        <w:t>Cash totaled $328.7 million at December 31, 2025, compared to $263.6 million at September 30, 2025.</w:t>
      </w:r>
    </w:p>
    <w:p>
      <w:pPr>
        <w:spacing w:after="0" w:line="34" w:lineRule="exact"/>
        <w:rPr>
          <w:sz w:val="20"/>
          <w:szCs w:val="20"/>
          <w:color w:val="auto"/>
        </w:rPr>
      </w:pPr>
    </w:p>
    <w:p>
      <w:pPr>
        <w:ind w:left="1500" w:firstLine="21"/>
        <w:spacing w:after="0" w:line="257" w:lineRule="auto"/>
        <w:rPr>
          <w:sz w:val="20"/>
          <w:szCs w:val="20"/>
          <w:color w:val="auto"/>
        </w:rPr>
      </w:pPr>
      <w:r>
        <w:rPr>
          <w:rFonts w:ascii="Arial" w:cs="Arial" w:eastAsia="Arial" w:hAnsi="Arial"/>
          <w:sz w:val="19"/>
          <w:szCs w:val="19"/>
          <w:color w:val="auto"/>
        </w:rPr>
        <w:t>During the three months ended December 31, 2025, the Company repurchased 415,925 shares of Manhattan Associates common stock under the share repurchase program authorized by our Board of Directors for a total investment of $75.0 million. In January 2026, our Board of Directors replenished the Company’s share repurchase authority to an aggregate of $100.0 million of our common stock.</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2025 FINANCIAL SUMMARY:</w:t>
      </w:r>
    </w:p>
    <w:p>
      <w:pPr>
        <w:spacing w:after="0" w:line="204" w:lineRule="exact"/>
        <w:rPr>
          <w:sz w:val="20"/>
          <w:szCs w:val="20"/>
          <w:color w:val="auto"/>
        </w:rPr>
      </w:pPr>
    </w:p>
    <w:p>
      <w:pPr>
        <w:ind w:left="1480" w:right="320" w:hanging="438"/>
        <w:spacing w:after="0" w:line="256" w:lineRule="auto"/>
        <w:tabs>
          <w:tab w:leader="none" w:pos="148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Consolidated total revenue for the twelve months ended December 31, 2025, was $1,081.4 million, compared to $1,042.4 million for the twelve months ended December 31, 2024.</w:t>
      </w:r>
    </w:p>
    <w:p>
      <w:pPr>
        <w:spacing w:after="0" w:line="48" w:lineRule="exact"/>
        <w:rPr>
          <w:sz w:val="20"/>
          <w:szCs w:val="20"/>
          <w:color w:val="auto"/>
        </w:rPr>
      </w:pPr>
    </w:p>
    <w:p>
      <w:pPr>
        <w:ind w:left="2040" w:right="480" w:hanging="347"/>
        <w:spacing w:after="0" w:line="256" w:lineRule="auto"/>
        <w:tabs>
          <w:tab w:leader="none" w:pos="204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Cloud subscription revenue was $408.1 million for the twelve months ended December 31, 2025, compared to $337.2 million for the twelve months ended December 31, 2024.</w:t>
      </w:r>
    </w:p>
    <w:p>
      <w:pPr>
        <w:spacing w:after="0" w:line="48" w:lineRule="exact"/>
        <w:rPr>
          <w:rFonts w:ascii="Times New Roman" w:cs="Times New Roman" w:eastAsia="Times New Roman" w:hAnsi="Times New Roman"/>
          <w:sz w:val="20"/>
          <w:szCs w:val="20"/>
          <w:color w:val="auto"/>
        </w:rPr>
      </w:pPr>
    </w:p>
    <w:p>
      <w:pPr>
        <w:ind w:left="2040" w:right="60" w:hanging="347"/>
        <w:spacing w:after="0" w:line="256" w:lineRule="auto"/>
        <w:tabs>
          <w:tab w:leader="none" w:pos="204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License revenue was $14.8 million for the twelve months ended December 31, 2025, compared to $15.1 million for the twelve months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1155065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44450</wp:posOffset>
            </wp:positionV>
            <wp:extent cx="6172200" cy="643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643255"/>
                    </a:xfrm>
                    <a:prstGeom prst="rect">
                      <a:avLst/>
                    </a:prstGeom>
                    <a:noFill/>
                  </pic:spPr>
                </pic:pic>
              </a:graphicData>
            </a:graphic>
          </wp:anchor>
        </w:drawing>
      </w:r>
    </w:p>
    <w:p>
      <w:pPr>
        <w:sectPr>
          <w:pgSz w:w="11900" w:h="16838" w:orient="portrait"/>
          <w:cols w:equalWidth="0" w:num="1">
            <w:col w:w="10440"/>
          </w:cols>
          <w:pgMar w:left="320" w:top="1211" w:right="1139" w:bottom="1440" w:gutter="0" w:footer="0" w:header="0"/>
        </w:sectPr>
      </w:pPr>
    </w:p>
    <w:bookmarkStart w:id="5" w:name="page6"/>
    <w:bookmarkEnd w:id="5"/>
    <w:p>
      <w:pPr>
        <w:ind w:left="998" w:right="780" w:hanging="347"/>
        <w:spacing w:after="0" w:line="256" w:lineRule="auto"/>
        <w:tabs>
          <w:tab w:leader="none" w:pos="998" w:val="left"/>
        </w:tabs>
        <w:numPr>
          <w:ilvl w:val="1"/>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Services revenue was $503.0 million for the twelve months ended December 31, 2025, compared to $525.5 million for the twelve months ended December 31, 2024.</w:t>
      </w:r>
    </w:p>
    <w:p>
      <w:pPr>
        <w:spacing w:after="0" w:line="48" w:lineRule="exact"/>
        <w:rPr>
          <w:rFonts w:ascii="Times New Roman" w:cs="Times New Roman" w:eastAsia="Times New Roman" w:hAnsi="Times New Roman"/>
          <w:sz w:val="20"/>
          <w:szCs w:val="20"/>
          <w:color w:val="auto"/>
        </w:rPr>
      </w:pPr>
    </w:p>
    <w:p>
      <w:pPr>
        <w:ind w:left="438" w:right="660" w:hanging="438"/>
        <w:spacing w:after="0" w:line="256" w:lineRule="auto"/>
        <w:tabs>
          <w:tab w:leader="none" w:pos="438"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GAAP diluted earnings per share for the twelve months ended December 31, 2025, was $3.60, compared to $3.51 for the twelve months ended December 31, 2024.</w:t>
      </w:r>
    </w:p>
    <w:p>
      <w:pPr>
        <w:spacing w:after="0" w:line="48" w:lineRule="exact"/>
        <w:rPr>
          <w:rFonts w:ascii="Times New Roman" w:cs="Times New Roman" w:eastAsia="Times New Roman" w:hAnsi="Times New Roman"/>
          <w:sz w:val="20"/>
          <w:szCs w:val="20"/>
          <w:color w:val="auto"/>
        </w:rPr>
      </w:pPr>
    </w:p>
    <w:p>
      <w:pPr>
        <w:ind w:left="438" w:right="240" w:hanging="438"/>
        <w:spacing w:after="0" w:line="256" w:lineRule="auto"/>
        <w:tabs>
          <w:tab w:leader="none" w:pos="438"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Adjusted diluted earnings per share, a non-GAAP measure, was $5.06 for the twelve months ended December 31, 2025, compared to $4.72 for the twelve months ended December 31, 2024.</w:t>
      </w:r>
    </w:p>
    <w:p>
      <w:pPr>
        <w:spacing w:after="0" w:line="48" w:lineRule="exact"/>
        <w:rPr>
          <w:rFonts w:ascii="Times New Roman" w:cs="Times New Roman" w:eastAsia="Times New Roman" w:hAnsi="Times New Roman"/>
          <w:sz w:val="20"/>
          <w:szCs w:val="20"/>
          <w:color w:val="auto"/>
        </w:rPr>
      </w:pPr>
    </w:p>
    <w:p>
      <w:pPr>
        <w:ind w:left="438" w:right="760" w:hanging="438"/>
        <w:spacing w:after="0" w:line="257" w:lineRule="auto"/>
        <w:tabs>
          <w:tab w:leader="none" w:pos="438" w:val="left"/>
        </w:tabs>
        <w:numPr>
          <w:ilvl w:val="0"/>
          <w:numId w:val="10"/>
        </w:numPr>
        <w:rPr>
          <w:rFonts w:ascii="Times New Roman" w:cs="Times New Roman" w:eastAsia="Times New Roman" w:hAnsi="Times New Roman"/>
          <w:sz w:val="18"/>
          <w:szCs w:val="18"/>
          <w:color w:val="auto"/>
        </w:rPr>
      </w:pPr>
      <w:r>
        <w:rPr>
          <w:rFonts w:ascii="Arial" w:cs="Arial" w:eastAsia="Arial" w:hAnsi="Arial"/>
          <w:sz w:val="20"/>
          <w:szCs w:val="20"/>
          <w:color w:val="auto"/>
        </w:rPr>
        <w:t>GAAP operating income was $279.8 million for the twelve months ended December 31, 2025, compared to $261.6 million for the twelve months ended December 31, 2024.</w:t>
      </w:r>
    </w:p>
    <w:p>
      <w:pPr>
        <w:spacing w:after="0" w:line="47" w:lineRule="exact"/>
        <w:rPr>
          <w:rFonts w:ascii="Times New Roman" w:cs="Times New Roman" w:eastAsia="Times New Roman" w:hAnsi="Times New Roman"/>
          <w:sz w:val="18"/>
          <w:szCs w:val="18"/>
          <w:color w:val="auto"/>
        </w:rPr>
      </w:pPr>
    </w:p>
    <w:p>
      <w:pPr>
        <w:jc w:val="both"/>
        <w:ind w:left="438" w:right="280" w:hanging="438"/>
        <w:spacing w:after="0" w:line="284" w:lineRule="auto"/>
        <w:tabs>
          <w:tab w:leader="none" w:pos="438"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9"/>
          <w:szCs w:val="19"/>
          <w:color w:val="auto"/>
        </w:rPr>
        <w:t>Adjusted operating income, a non-GAAP measure, was $387.1 million for the twelve months ended December 31, 2025, compared to $361.8 million for the twelve months ended December 31, 2024.</w:t>
      </w:r>
    </w:p>
    <w:p>
      <w:pPr>
        <w:spacing w:after="0" w:line="22" w:lineRule="exact"/>
        <w:rPr>
          <w:rFonts w:ascii="Times New Roman" w:cs="Times New Roman" w:eastAsia="Times New Roman" w:hAnsi="Times New Roman"/>
          <w:sz w:val="17"/>
          <w:szCs w:val="17"/>
          <w:color w:val="auto"/>
        </w:rPr>
      </w:pPr>
    </w:p>
    <w:p>
      <w:pPr>
        <w:ind w:left="438" w:right="580" w:hanging="438"/>
        <w:spacing w:after="0" w:line="257" w:lineRule="auto"/>
        <w:tabs>
          <w:tab w:leader="none" w:pos="438" w:val="left"/>
        </w:tabs>
        <w:numPr>
          <w:ilvl w:val="0"/>
          <w:numId w:val="10"/>
        </w:numPr>
        <w:rPr>
          <w:rFonts w:ascii="Times New Roman" w:cs="Times New Roman" w:eastAsia="Times New Roman" w:hAnsi="Times New Roman"/>
          <w:sz w:val="18"/>
          <w:szCs w:val="18"/>
          <w:color w:val="auto"/>
        </w:rPr>
      </w:pPr>
      <w:r>
        <w:rPr>
          <w:rFonts w:ascii="Arial" w:cs="Arial" w:eastAsia="Arial" w:hAnsi="Arial"/>
          <w:sz w:val="20"/>
          <w:szCs w:val="20"/>
          <w:color w:val="auto"/>
        </w:rPr>
        <w:t>Cash flow from operations was $389.5 million for the twelve months ended December 31, 2025, compared to $295.0 million for the twelve months ended December 31, 2024.</w:t>
      </w:r>
    </w:p>
    <w:p>
      <w:pPr>
        <w:spacing w:after="0" w:line="47" w:lineRule="exact"/>
        <w:rPr>
          <w:rFonts w:ascii="Times New Roman" w:cs="Times New Roman" w:eastAsia="Times New Roman" w:hAnsi="Times New Roman"/>
          <w:sz w:val="18"/>
          <w:szCs w:val="18"/>
          <w:color w:val="auto"/>
        </w:rPr>
      </w:pPr>
    </w:p>
    <w:p>
      <w:pPr>
        <w:jc w:val="both"/>
        <w:ind w:left="438" w:hanging="438"/>
        <w:spacing w:after="0" w:line="252" w:lineRule="auto"/>
        <w:tabs>
          <w:tab w:leader="none" w:pos="438"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9"/>
          <w:szCs w:val="19"/>
          <w:color w:val="auto"/>
        </w:rPr>
        <w:t>During the twelve months ended December 31, 2025, the Company repurchased 1,451,019 shares of Manhattan Associates common stock under the share repurchase program authorized by our Board of Directors, for a total investment of $274.5 million. In January 2026, our Board of Directors replenished the Company’s share repurchase authority to an aggregate of $100.0 million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1295400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185420</wp:posOffset>
            </wp:positionV>
            <wp:extent cx="6172200" cy="643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643255"/>
                    </a:xfrm>
                    <a:prstGeom prst="rect">
                      <a:avLst/>
                    </a:prstGeom>
                    <a:noFill/>
                  </pic:spPr>
                </pic:pic>
              </a:graphicData>
            </a:graphic>
          </wp:anchor>
        </w:drawing>
      </w:r>
    </w:p>
    <w:p>
      <w:pPr>
        <w:sectPr>
          <w:pgSz w:w="11900" w:h="16838" w:orient="portrait"/>
          <w:cols w:equalWidth="0" w:num="1">
            <w:col w:w="9378"/>
          </w:cols>
          <w:pgMar w:left="1362" w:top="1211" w:right="115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2026 GUIDANCE</w:t>
      </w:r>
    </w:p>
    <w:p>
      <w:pPr>
        <w:spacing w:after="0" w:line="96" w:lineRule="exact"/>
        <w:rPr>
          <w:sz w:val="20"/>
          <w:szCs w:val="20"/>
          <w:color w:val="auto"/>
        </w:rPr>
      </w:pPr>
    </w:p>
    <w:p>
      <w:pPr>
        <w:ind w:left="760" w:right="1280"/>
        <w:spacing w:after="0" w:line="257" w:lineRule="auto"/>
        <w:rPr>
          <w:sz w:val="20"/>
          <w:szCs w:val="20"/>
          <w:color w:val="auto"/>
        </w:rPr>
      </w:pPr>
      <w:r>
        <w:rPr>
          <w:rFonts w:ascii="Arial" w:cs="Arial" w:eastAsia="Arial" w:hAnsi="Arial"/>
          <w:sz w:val="20"/>
          <w:szCs w:val="20"/>
          <w:color w:val="auto"/>
        </w:rPr>
        <w:t>Manhattan Associates provides the following revenue, operating margin, and diluted earnings per share guidance for the full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45020" cy="2623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5020" cy="2623185"/>
                    </a:xfrm>
                    <a:prstGeom prst="rect">
                      <a:avLst/>
                    </a:prstGeom>
                    <a:noFill/>
                  </pic:spPr>
                </pic:pic>
              </a:graphicData>
            </a:graphic>
          </wp:anchor>
        </w:drawing>
      </w:r>
    </w:p>
    <w:p>
      <w:pPr>
        <w:spacing w:after="0" w:line="237" w:lineRule="exact"/>
        <w:rPr>
          <w:sz w:val="20"/>
          <w:szCs w:val="20"/>
          <w:color w:val="auto"/>
        </w:rPr>
      </w:pPr>
    </w:p>
    <w:p>
      <w:pPr>
        <w:ind w:left="6920"/>
        <w:spacing w:after="0"/>
        <w:rPr>
          <w:sz w:val="20"/>
          <w:szCs w:val="20"/>
          <w:color w:val="auto"/>
        </w:rPr>
      </w:pPr>
      <w:r>
        <w:rPr>
          <w:rFonts w:ascii="Arial" w:cs="Arial" w:eastAsia="Arial" w:hAnsi="Arial"/>
          <w:sz w:val="16"/>
          <w:szCs w:val="16"/>
          <w:b w:val="1"/>
          <w:bCs w:val="1"/>
          <w:color w:val="auto"/>
        </w:rPr>
        <w:t>Guidance Range - 2026 Full Year</w:t>
      </w:r>
    </w:p>
    <w:p>
      <w:pPr>
        <w:spacing w:after="0" w:line="19" w:lineRule="exact"/>
        <w:rPr>
          <w:sz w:val="20"/>
          <w:szCs w:val="20"/>
          <w:color w:val="auto"/>
        </w:rPr>
      </w:pPr>
    </w:p>
    <w:tbl>
      <w:tblPr>
        <w:tblLayout w:type="fixed"/>
        <w:tblInd w:w="220" w:type="dxa"/>
        <w:tblCellMar>
          <w:top w:w="0" w:type="dxa"/>
          <w:left w:w="0" w:type="dxa"/>
          <w:bottom w:w="0" w:type="dxa"/>
          <w:right w:w="0" w:type="dxa"/>
        </w:tblCellMar>
      </w:tblPr>
      <w:tr>
        <w:trPr>
          <w:trHeight w:val="183"/>
        </w:trPr>
        <w:tc>
          <w:tcPr>
            <w:tcW w:w="50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($'s in millions, except operating margin and EPS)</w:t>
            </w:r>
          </w:p>
        </w:tc>
        <w:tc>
          <w:tcPr>
            <w:tcW w:w="1720" w:type="dxa"/>
            <w:vAlign w:val="bottom"/>
            <w:tcBorders>
              <w:top w:val="single" w:sz="8" w:color="auto"/>
              <w:bottom w:val="single" w:sz="8" w:color="auto"/>
            </w:tcBorders>
            <w:gridSpan w:val="3"/>
          </w:tcPr>
          <w:p>
            <w:pPr>
              <w:ind w:left="880"/>
              <w:spacing w:after="0" w:line="183" w:lineRule="exact"/>
              <w:rPr>
                <w:sz w:val="20"/>
                <w:szCs w:val="20"/>
                <w:color w:val="auto"/>
              </w:rPr>
            </w:pPr>
            <w:r>
              <w:rPr>
                <w:rFonts w:ascii="Arial" w:cs="Arial" w:eastAsia="Arial" w:hAnsi="Arial"/>
                <w:sz w:val="16"/>
                <w:szCs w:val="16"/>
                <w:b w:val="1"/>
                <w:bCs w:val="1"/>
                <w:color w:val="auto"/>
              </w:rPr>
              <w:t>$ Range</w:t>
            </w:r>
          </w:p>
        </w:tc>
        <w:tc>
          <w:tcPr>
            <w:tcW w:w="7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2280" w:type="dxa"/>
            <w:vAlign w:val="bottom"/>
            <w:tcBorders>
              <w:top w:val="single" w:sz="8" w:color="auto"/>
              <w:bottom w:val="single" w:sz="8" w:color="auto"/>
            </w:tcBorders>
          </w:tcPr>
          <w:p>
            <w:pPr>
              <w:ind w:left="100"/>
              <w:spacing w:after="0" w:line="183" w:lineRule="exact"/>
              <w:rPr>
                <w:sz w:val="20"/>
                <w:szCs w:val="20"/>
                <w:color w:val="auto"/>
              </w:rPr>
            </w:pPr>
            <w:r>
              <w:rPr>
                <w:rFonts w:ascii="Arial" w:cs="Arial" w:eastAsia="Arial" w:hAnsi="Arial"/>
                <w:sz w:val="16"/>
                <w:szCs w:val="16"/>
                <w:b w:val="1"/>
                <w:bCs w:val="1"/>
                <w:color w:val="auto"/>
              </w:rPr>
              <w:t>% Growth Range</w:t>
            </w:r>
          </w:p>
        </w:tc>
      </w:tr>
      <w:tr>
        <w:trPr>
          <w:trHeight w:val="183"/>
        </w:trPr>
        <w:tc>
          <w:tcPr>
            <w:tcW w:w="1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2280" w:type="dxa"/>
            <w:vAlign w:val="bottom"/>
          </w:tcPr>
          <w:p>
            <w:pPr>
              <w:spacing w:after="0"/>
              <w:rPr>
                <w:sz w:val="15"/>
                <w:szCs w:val="15"/>
                <w:color w:val="auto"/>
              </w:rPr>
            </w:pPr>
          </w:p>
        </w:tc>
      </w:tr>
      <w:tr>
        <w:trPr>
          <w:trHeight w:val="189"/>
        </w:trPr>
        <w:tc>
          <w:tcPr>
            <w:tcW w:w="5060" w:type="dxa"/>
            <w:vAlign w:val="bottom"/>
            <w:gridSpan w:val="3"/>
            <w:shd w:val="clear" w:color="auto" w:fill="CCFFCC"/>
          </w:tcPr>
          <w:p>
            <w:pPr>
              <w:spacing w:after="0"/>
              <w:rPr>
                <w:sz w:val="20"/>
                <w:szCs w:val="20"/>
                <w:color w:val="auto"/>
              </w:rPr>
            </w:pPr>
            <w:r>
              <w:rPr>
                <w:rFonts w:ascii="Arial" w:cs="Arial" w:eastAsia="Arial" w:hAnsi="Arial"/>
                <w:sz w:val="16"/>
                <w:szCs w:val="16"/>
                <w:b w:val="1"/>
                <w:bCs w:val="1"/>
                <w:color w:val="auto"/>
              </w:rPr>
              <w:t>Total revenue</w:t>
            </w:r>
          </w:p>
        </w:tc>
        <w:tc>
          <w:tcPr>
            <w:tcW w:w="112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$1,133</w:t>
            </w:r>
          </w:p>
        </w:tc>
        <w:tc>
          <w:tcPr>
            <w:tcW w:w="20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$1,153</w:t>
            </w:r>
          </w:p>
        </w:tc>
        <w:tc>
          <w:tcPr>
            <w:tcW w:w="1100" w:type="dxa"/>
            <w:vAlign w:val="bottom"/>
            <w:gridSpan w:val="2"/>
            <w:shd w:val="clear" w:color="auto" w:fill="CCFFCC"/>
          </w:tcPr>
          <w:p>
            <w:pPr>
              <w:jc w:val="center"/>
              <w:ind w:left="579"/>
              <w:spacing w:after="0"/>
              <w:rPr>
                <w:sz w:val="20"/>
                <w:szCs w:val="20"/>
                <w:color w:val="auto"/>
              </w:rPr>
            </w:pPr>
            <w:r>
              <w:rPr>
                <w:rFonts w:ascii="Arial" w:cs="Arial" w:eastAsia="Arial" w:hAnsi="Arial"/>
                <w:sz w:val="16"/>
                <w:szCs w:val="16"/>
                <w:b w:val="1"/>
                <w:bCs w:val="1"/>
                <w:color w:val="auto"/>
              </w:rPr>
              <w:t>5%</w:t>
            </w:r>
          </w:p>
        </w:tc>
        <w:tc>
          <w:tcPr>
            <w:tcW w:w="2280" w:type="dxa"/>
            <w:vAlign w:val="bottom"/>
            <w:shd w:val="clear" w:color="auto" w:fill="CCFFCC"/>
          </w:tcPr>
          <w:p>
            <w:pPr>
              <w:jc w:val="center"/>
              <w:ind w:left="439"/>
              <w:spacing w:after="0"/>
              <w:rPr>
                <w:sz w:val="20"/>
                <w:szCs w:val="20"/>
                <w:color w:val="auto"/>
              </w:rPr>
            </w:pPr>
            <w:r>
              <w:rPr>
                <w:rFonts w:ascii="Arial" w:cs="Arial" w:eastAsia="Arial" w:hAnsi="Arial"/>
                <w:sz w:val="16"/>
                <w:szCs w:val="16"/>
                <w:b w:val="1"/>
                <w:bCs w:val="1"/>
                <w:color w:val="auto"/>
              </w:rPr>
              <w:t>7%</w:t>
            </w:r>
          </w:p>
        </w:tc>
      </w:tr>
      <w:tr>
        <w:trPr>
          <w:trHeight w:val="358"/>
        </w:trPr>
        <w:tc>
          <w:tcPr>
            <w:tcW w:w="1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Operating Margin:</w:t>
            </w:r>
          </w:p>
        </w:tc>
        <w:tc>
          <w:tcPr>
            <w:tcW w:w="3660" w:type="dxa"/>
            <w:vAlign w:val="bottom"/>
            <w:gridSpan w:val="2"/>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89"/>
        </w:trPr>
        <w:tc>
          <w:tcPr>
            <w:tcW w:w="5060" w:type="dxa"/>
            <w:vAlign w:val="bottom"/>
            <w:gridSpan w:val="3"/>
            <w:shd w:val="clear" w:color="auto" w:fill="CCFFCC"/>
          </w:tcPr>
          <w:p>
            <w:pPr>
              <w:spacing w:after="0"/>
              <w:rPr>
                <w:sz w:val="20"/>
                <w:szCs w:val="20"/>
                <w:color w:val="auto"/>
              </w:rPr>
            </w:pPr>
            <w:r>
              <w:rPr>
                <w:rFonts w:ascii="Arial" w:cs="Arial" w:eastAsia="Arial" w:hAnsi="Arial"/>
                <w:sz w:val="16"/>
                <w:szCs w:val="16"/>
                <w:b w:val="1"/>
                <w:bCs w:val="1"/>
                <w:color w:val="auto"/>
              </w:rPr>
              <w:t>GAAP operating margin</w:t>
            </w:r>
          </w:p>
        </w:tc>
        <w:tc>
          <w:tcPr>
            <w:tcW w:w="112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24.1%</w:t>
            </w:r>
          </w:p>
        </w:tc>
        <w:tc>
          <w:tcPr>
            <w:tcW w:w="20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24.7%</w:t>
            </w:r>
          </w:p>
        </w:tc>
        <w:tc>
          <w:tcPr>
            <w:tcW w:w="320" w:type="dxa"/>
            <w:vAlign w:val="bottom"/>
            <w:shd w:val="clear" w:color="auto" w:fill="CCFFCC"/>
          </w:tcPr>
          <w:p>
            <w:pPr>
              <w:spacing w:after="0"/>
              <w:rPr>
                <w:sz w:val="16"/>
                <w:szCs w:val="16"/>
                <w:color w:val="auto"/>
              </w:rPr>
            </w:pPr>
          </w:p>
        </w:tc>
        <w:tc>
          <w:tcPr>
            <w:tcW w:w="780" w:type="dxa"/>
            <w:vAlign w:val="bottom"/>
            <w:shd w:val="clear" w:color="auto" w:fill="CCFFCC"/>
          </w:tcPr>
          <w:p>
            <w:pPr>
              <w:spacing w:after="0"/>
              <w:rPr>
                <w:sz w:val="16"/>
                <w:szCs w:val="16"/>
                <w:color w:val="auto"/>
              </w:rPr>
            </w:pPr>
          </w:p>
        </w:tc>
        <w:tc>
          <w:tcPr>
            <w:tcW w:w="2280" w:type="dxa"/>
            <w:vAlign w:val="bottom"/>
            <w:shd w:val="clear" w:color="auto" w:fill="CCFFCC"/>
          </w:tcPr>
          <w:p>
            <w:pPr>
              <w:spacing w:after="0"/>
              <w:rPr>
                <w:sz w:val="16"/>
                <w:szCs w:val="16"/>
                <w:color w:val="auto"/>
              </w:rPr>
            </w:pPr>
          </w:p>
        </w:tc>
      </w:tr>
      <w:tr>
        <w:trPr>
          <w:trHeight w:val="189"/>
        </w:trPr>
        <w:tc>
          <w:tcPr>
            <w:tcW w:w="5060" w:type="dxa"/>
            <w:vAlign w:val="bottom"/>
            <w:tcBorders>
              <w:bottom w:val="single" w:sz="8" w:color="CCFFCC"/>
            </w:tcBorders>
            <w:gridSpan w:val="3"/>
            <w:shd w:val="clear" w:color="auto" w:fill="CCFFCC"/>
          </w:tcPr>
          <w:p>
            <w:pPr>
              <w:ind w:left="60"/>
              <w:spacing w:after="0"/>
              <w:rPr>
                <w:sz w:val="20"/>
                <w:szCs w:val="20"/>
                <w:color w:val="auto"/>
              </w:rPr>
            </w:pPr>
            <w:r>
              <w:rPr>
                <w:rFonts w:ascii="Arial" w:cs="Arial" w:eastAsia="Arial" w:hAnsi="Arial"/>
                <w:sz w:val="16"/>
                <w:szCs w:val="16"/>
                <w:b w:val="1"/>
                <w:bCs w:val="1"/>
                <w:color w:val="auto"/>
              </w:rPr>
              <w:t>Equity-based compensation</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10.4%</w:t>
            </w:r>
          </w:p>
        </w:tc>
        <w:tc>
          <w:tcPr>
            <w:tcW w:w="200" w:type="dxa"/>
            <w:vAlign w:val="bottom"/>
            <w:tcBorders>
              <w:bottom w:val="single" w:sz="8" w:color="CCFFCC"/>
            </w:tcBorders>
            <w:shd w:val="clear" w:color="auto" w:fill="CCFFCC"/>
          </w:tcPr>
          <w:p>
            <w:pPr>
              <w:spacing w:after="0"/>
              <w:rPr>
                <w:sz w:val="16"/>
                <w:szCs w:val="16"/>
                <w:color w:val="auto"/>
              </w:rPr>
            </w:pPr>
          </w:p>
        </w:tc>
        <w:tc>
          <w:tcPr>
            <w:tcW w:w="400" w:type="dxa"/>
            <w:vAlign w:val="bottom"/>
            <w:tcBorders>
              <w:bottom w:val="single" w:sz="8" w:color="auto"/>
            </w:tcBorders>
            <w:shd w:val="clear" w:color="auto" w:fill="CCFFCC"/>
          </w:tcPr>
          <w:p>
            <w:pPr>
              <w:spacing w:after="0"/>
              <w:rPr>
                <w:sz w:val="16"/>
                <w:szCs w:val="16"/>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10.3%</w:t>
            </w:r>
          </w:p>
        </w:tc>
        <w:tc>
          <w:tcPr>
            <w:tcW w:w="320" w:type="dxa"/>
            <w:vAlign w:val="bottom"/>
            <w:tcBorders>
              <w:bottom w:val="single" w:sz="8" w:color="CCFFCC"/>
            </w:tcBorders>
            <w:shd w:val="clear" w:color="auto" w:fill="CCFFCC"/>
          </w:tcPr>
          <w:p>
            <w:pPr>
              <w:spacing w:after="0"/>
              <w:rPr>
                <w:sz w:val="16"/>
                <w:szCs w:val="16"/>
                <w:color w:val="auto"/>
              </w:rPr>
            </w:pPr>
          </w:p>
        </w:tc>
        <w:tc>
          <w:tcPr>
            <w:tcW w:w="780" w:type="dxa"/>
            <w:vAlign w:val="bottom"/>
            <w:tcBorders>
              <w:bottom w:val="single" w:sz="8" w:color="CCFFCC"/>
            </w:tcBorders>
            <w:shd w:val="clear" w:color="auto" w:fill="CCFFCC"/>
          </w:tcPr>
          <w:p>
            <w:pPr>
              <w:spacing w:after="0"/>
              <w:rPr>
                <w:sz w:val="16"/>
                <w:szCs w:val="16"/>
                <w:color w:val="auto"/>
              </w:rPr>
            </w:pPr>
          </w:p>
        </w:tc>
        <w:tc>
          <w:tcPr>
            <w:tcW w:w="2280" w:type="dxa"/>
            <w:vAlign w:val="bottom"/>
            <w:tcBorders>
              <w:bottom w:val="single" w:sz="8" w:color="CCFFCC"/>
            </w:tcBorders>
            <w:shd w:val="clear" w:color="auto" w:fill="CCFFCC"/>
          </w:tcPr>
          <w:p>
            <w:pPr>
              <w:spacing w:after="0"/>
              <w:rPr>
                <w:sz w:val="16"/>
                <w:szCs w:val="16"/>
                <w:color w:val="auto"/>
              </w:rPr>
            </w:pPr>
          </w:p>
        </w:tc>
      </w:tr>
      <w:tr>
        <w:trPr>
          <w:trHeight w:val="223"/>
        </w:trPr>
        <w:tc>
          <w:tcPr>
            <w:tcW w:w="5060" w:type="dxa"/>
            <w:vAlign w:val="bottom"/>
            <w:tcBorders>
              <w:bottom w:val="single" w:sz="8" w:color="CCFFCC"/>
            </w:tcBorders>
            <w:gridSpan w:val="3"/>
            <w:shd w:val="clear" w:color="auto" w:fill="CCFFCC"/>
          </w:tcPr>
          <w:p>
            <w:pPr>
              <w:spacing w:after="0" w:line="163" w:lineRule="exact"/>
              <w:rPr>
                <w:sz w:val="20"/>
                <w:szCs w:val="20"/>
                <w:color w:val="auto"/>
              </w:rPr>
            </w:pPr>
            <w:r>
              <w:rPr>
                <w:rFonts w:ascii="Arial" w:cs="Arial" w:eastAsia="Arial" w:hAnsi="Arial"/>
                <w:sz w:val="14"/>
                <w:szCs w:val="14"/>
                <w:b w:val="1"/>
                <w:bCs w:val="1"/>
                <w:color w:val="auto"/>
              </w:rPr>
              <w:t>Adjusted operating margin</w:t>
            </w:r>
            <w:r>
              <w:rPr>
                <w:rFonts w:ascii="Arial" w:cs="Arial" w:eastAsia="Arial" w:hAnsi="Arial"/>
                <w:sz w:val="18"/>
                <w:szCs w:val="18"/>
                <w:b w:val="1"/>
                <w:bCs w:val="1"/>
                <w:color w:val="auto"/>
                <w:vertAlign w:val="superscript"/>
              </w:rPr>
              <w:t>(1)</w:t>
            </w:r>
          </w:p>
        </w:tc>
        <w:tc>
          <w:tcPr>
            <w:tcW w:w="1120" w:type="dxa"/>
            <w:vAlign w:val="bottom"/>
            <w:tcBorders>
              <w:bottom w:val="single" w:sz="8" w:color="auto"/>
            </w:tcBorders>
            <w:shd w:val="clear" w:color="auto" w:fill="CCFFCC"/>
          </w:tcPr>
          <w:p>
            <w:pPr>
              <w:jc w:val="right"/>
              <w:spacing w:after="0" w:line="169" w:lineRule="exact"/>
              <w:rPr>
                <w:sz w:val="20"/>
                <w:szCs w:val="20"/>
                <w:color w:val="auto"/>
              </w:rPr>
            </w:pPr>
            <w:r>
              <w:rPr>
                <w:rFonts w:ascii="Arial" w:cs="Arial" w:eastAsia="Arial" w:hAnsi="Arial"/>
                <w:sz w:val="16"/>
                <w:szCs w:val="16"/>
                <w:b w:val="1"/>
                <w:bCs w:val="1"/>
                <w:color w:val="auto"/>
              </w:rPr>
              <w:t>34.5%</w:t>
            </w:r>
          </w:p>
        </w:tc>
        <w:tc>
          <w:tcPr>
            <w:tcW w:w="20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700" w:type="dxa"/>
            <w:vAlign w:val="bottom"/>
            <w:tcBorders>
              <w:bottom w:val="single" w:sz="8" w:color="auto"/>
            </w:tcBorders>
            <w:shd w:val="clear" w:color="auto" w:fill="CCFFCC"/>
          </w:tcPr>
          <w:p>
            <w:pPr>
              <w:jc w:val="right"/>
              <w:spacing w:after="0" w:line="169" w:lineRule="exact"/>
              <w:rPr>
                <w:sz w:val="20"/>
                <w:szCs w:val="20"/>
                <w:color w:val="auto"/>
              </w:rPr>
            </w:pPr>
            <w:r>
              <w:rPr>
                <w:rFonts w:ascii="Arial" w:cs="Arial" w:eastAsia="Arial" w:hAnsi="Arial"/>
                <w:sz w:val="16"/>
                <w:szCs w:val="16"/>
                <w:b w:val="1"/>
                <w:bCs w:val="1"/>
                <w:color w:val="auto"/>
              </w:rPr>
              <w:t>35.0%</w:t>
            </w:r>
          </w:p>
        </w:tc>
        <w:tc>
          <w:tcPr>
            <w:tcW w:w="320" w:type="dxa"/>
            <w:vAlign w:val="bottom"/>
            <w:tcBorders>
              <w:bottom w:val="single" w:sz="8" w:color="CCFFCC"/>
            </w:tcBorders>
            <w:shd w:val="clear" w:color="auto" w:fill="CCFFCC"/>
          </w:tcPr>
          <w:p>
            <w:pPr>
              <w:spacing w:after="0"/>
              <w:rPr>
                <w:sz w:val="19"/>
                <w:szCs w:val="19"/>
                <w:color w:val="auto"/>
              </w:rPr>
            </w:pPr>
          </w:p>
        </w:tc>
        <w:tc>
          <w:tcPr>
            <w:tcW w:w="780" w:type="dxa"/>
            <w:vAlign w:val="bottom"/>
            <w:tcBorders>
              <w:bottom w:val="single" w:sz="8" w:color="CCFFCC"/>
            </w:tcBorders>
            <w:shd w:val="clear" w:color="auto" w:fill="CCFFCC"/>
          </w:tcPr>
          <w:p>
            <w:pPr>
              <w:spacing w:after="0"/>
              <w:rPr>
                <w:sz w:val="19"/>
                <w:szCs w:val="19"/>
                <w:color w:val="auto"/>
              </w:rPr>
            </w:pPr>
          </w:p>
        </w:tc>
        <w:tc>
          <w:tcPr>
            <w:tcW w:w="2280" w:type="dxa"/>
            <w:vAlign w:val="bottom"/>
            <w:tcBorders>
              <w:bottom w:val="single" w:sz="8" w:color="CCFFCC"/>
            </w:tcBorders>
            <w:shd w:val="clear" w:color="auto" w:fill="CCFFCC"/>
          </w:tcPr>
          <w:p>
            <w:pPr>
              <w:spacing w:after="0"/>
              <w:rPr>
                <w:sz w:val="19"/>
                <w:szCs w:val="19"/>
                <w:color w:val="auto"/>
              </w:rPr>
            </w:pPr>
          </w:p>
        </w:tc>
      </w:tr>
      <w:tr>
        <w:trPr>
          <w:trHeight w:val="338"/>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rPr>
              <w:t>Diluted earnings per share (EPS):</w:t>
            </w:r>
          </w:p>
        </w:tc>
        <w:tc>
          <w:tcPr>
            <w:tcW w:w="2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89"/>
        </w:trPr>
        <w:tc>
          <w:tcPr>
            <w:tcW w:w="5060" w:type="dxa"/>
            <w:vAlign w:val="bottom"/>
            <w:gridSpan w:val="3"/>
            <w:shd w:val="clear" w:color="auto" w:fill="CCFFCC"/>
          </w:tcPr>
          <w:p>
            <w:pPr>
              <w:spacing w:after="0"/>
              <w:rPr>
                <w:sz w:val="20"/>
                <w:szCs w:val="20"/>
                <w:color w:val="auto"/>
              </w:rPr>
            </w:pPr>
            <w:r>
              <w:rPr>
                <w:rFonts w:ascii="Arial" w:cs="Arial" w:eastAsia="Arial" w:hAnsi="Arial"/>
                <w:sz w:val="16"/>
                <w:szCs w:val="16"/>
                <w:b w:val="1"/>
                <w:bCs w:val="1"/>
                <w:color w:val="auto"/>
              </w:rPr>
              <w:t>GAAP EPS</w:t>
            </w:r>
          </w:p>
        </w:tc>
        <w:tc>
          <w:tcPr>
            <w:tcW w:w="112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$3.37</w:t>
            </w:r>
          </w:p>
        </w:tc>
        <w:tc>
          <w:tcPr>
            <w:tcW w:w="20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$3.53</w:t>
            </w:r>
          </w:p>
        </w:tc>
        <w:tc>
          <w:tcPr>
            <w:tcW w:w="1100" w:type="dxa"/>
            <w:vAlign w:val="bottom"/>
            <w:gridSpan w:val="2"/>
            <w:shd w:val="clear" w:color="auto" w:fill="CCFFCC"/>
          </w:tcPr>
          <w:p>
            <w:pPr>
              <w:jc w:val="center"/>
              <w:ind w:left="579"/>
              <w:spacing w:after="0"/>
              <w:rPr>
                <w:sz w:val="20"/>
                <w:szCs w:val="20"/>
                <w:color w:val="auto"/>
              </w:rPr>
            </w:pPr>
            <w:r>
              <w:rPr>
                <w:rFonts w:ascii="Arial" w:cs="Arial" w:eastAsia="Arial" w:hAnsi="Arial"/>
                <w:sz w:val="16"/>
                <w:szCs w:val="16"/>
                <w:b w:val="1"/>
                <w:bCs w:val="1"/>
                <w:color w:val="auto"/>
                <w:w w:val="98"/>
              </w:rPr>
              <w:t>-6%</w:t>
            </w:r>
          </w:p>
        </w:tc>
        <w:tc>
          <w:tcPr>
            <w:tcW w:w="2280" w:type="dxa"/>
            <w:vAlign w:val="bottom"/>
            <w:shd w:val="clear" w:color="auto" w:fill="CCFFCC"/>
          </w:tcPr>
          <w:p>
            <w:pPr>
              <w:jc w:val="center"/>
              <w:ind w:left="439"/>
              <w:spacing w:after="0"/>
              <w:rPr>
                <w:sz w:val="20"/>
                <w:szCs w:val="20"/>
                <w:color w:val="auto"/>
              </w:rPr>
            </w:pPr>
            <w:r>
              <w:rPr>
                <w:rFonts w:ascii="Arial" w:cs="Arial" w:eastAsia="Arial" w:hAnsi="Arial"/>
                <w:sz w:val="16"/>
                <w:szCs w:val="16"/>
                <w:b w:val="1"/>
                <w:bCs w:val="1"/>
                <w:color w:val="auto"/>
                <w:w w:val="98"/>
              </w:rPr>
              <w:t>-2%</w:t>
            </w:r>
          </w:p>
        </w:tc>
      </w:tr>
      <w:tr>
        <w:trPr>
          <w:trHeight w:val="162"/>
        </w:trPr>
        <w:tc>
          <w:tcPr>
            <w:tcW w:w="5060" w:type="dxa"/>
            <w:vAlign w:val="bottom"/>
            <w:gridSpan w:val="3"/>
            <w:shd w:val="clear" w:color="auto" w:fill="CCFFCC"/>
          </w:tcPr>
          <w:p>
            <w:pPr>
              <w:ind w:left="60"/>
              <w:spacing w:after="0" w:line="162" w:lineRule="exact"/>
              <w:rPr>
                <w:sz w:val="20"/>
                <w:szCs w:val="20"/>
                <w:color w:val="auto"/>
              </w:rPr>
            </w:pPr>
            <w:r>
              <w:rPr>
                <w:rFonts w:ascii="Arial" w:cs="Arial" w:eastAsia="Arial" w:hAnsi="Arial"/>
                <w:sz w:val="16"/>
                <w:szCs w:val="16"/>
                <w:b w:val="1"/>
                <w:bCs w:val="1"/>
                <w:color w:val="auto"/>
              </w:rPr>
              <w:t>Equity-based compensation</w:t>
            </w:r>
          </w:p>
        </w:tc>
        <w:tc>
          <w:tcPr>
            <w:tcW w:w="1120" w:type="dxa"/>
            <w:vAlign w:val="bottom"/>
            <w:shd w:val="clear" w:color="auto" w:fill="CCFFCC"/>
          </w:tcPr>
          <w:p>
            <w:pPr>
              <w:jc w:val="right"/>
              <w:spacing w:after="0" w:line="162" w:lineRule="exact"/>
              <w:rPr>
                <w:sz w:val="20"/>
                <w:szCs w:val="20"/>
                <w:color w:val="auto"/>
              </w:rPr>
            </w:pPr>
            <w:r>
              <w:rPr>
                <w:rFonts w:ascii="Arial" w:cs="Arial" w:eastAsia="Arial" w:hAnsi="Arial"/>
                <w:sz w:val="16"/>
                <w:szCs w:val="16"/>
                <w:b w:val="1"/>
                <w:bCs w:val="1"/>
                <w:color w:val="auto"/>
              </w:rPr>
              <w:t>1.69</w:t>
            </w:r>
          </w:p>
        </w:tc>
        <w:tc>
          <w:tcPr>
            <w:tcW w:w="200" w:type="dxa"/>
            <w:vAlign w:val="bottom"/>
            <w:shd w:val="clear" w:color="auto" w:fill="CCFFCC"/>
          </w:tcPr>
          <w:p>
            <w:pPr>
              <w:spacing w:after="0"/>
              <w:rPr>
                <w:sz w:val="14"/>
                <w:szCs w:val="14"/>
                <w:color w:val="auto"/>
              </w:rPr>
            </w:pPr>
          </w:p>
        </w:tc>
        <w:tc>
          <w:tcPr>
            <w:tcW w:w="400" w:type="dxa"/>
            <w:vAlign w:val="bottom"/>
            <w:shd w:val="clear" w:color="auto" w:fill="CCFFCC"/>
          </w:tcPr>
          <w:p>
            <w:pPr>
              <w:spacing w:after="0"/>
              <w:rPr>
                <w:sz w:val="14"/>
                <w:szCs w:val="14"/>
                <w:color w:val="auto"/>
              </w:rPr>
            </w:pPr>
          </w:p>
        </w:tc>
        <w:tc>
          <w:tcPr>
            <w:tcW w:w="700" w:type="dxa"/>
            <w:vAlign w:val="bottom"/>
            <w:shd w:val="clear" w:color="auto" w:fill="CCFFCC"/>
          </w:tcPr>
          <w:p>
            <w:pPr>
              <w:jc w:val="right"/>
              <w:spacing w:after="0" w:line="162" w:lineRule="exact"/>
              <w:rPr>
                <w:sz w:val="20"/>
                <w:szCs w:val="20"/>
                <w:color w:val="auto"/>
              </w:rPr>
            </w:pPr>
            <w:r>
              <w:rPr>
                <w:rFonts w:ascii="Arial" w:cs="Arial" w:eastAsia="Arial" w:hAnsi="Arial"/>
                <w:sz w:val="16"/>
                <w:szCs w:val="16"/>
                <w:b w:val="1"/>
                <w:bCs w:val="1"/>
                <w:color w:val="auto"/>
              </w:rPr>
              <w:t>1.69</w:t>
            </w:r>
          </w:p>
        </w:tc>
        <w:tc>
          <w:tcPr>
            <w:tcW w:w="32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2280" w:type="dxa"/>
            <w:vAlign w:val="bottom"/>
            <w:shd w:val="clear" w:color="auto" w:fill="CCFFCC"/>
          </w:tcPr>
          <w:p>
            <w:pPr>
              <w:spacing w:after="0"/>
              <w:rPr>
                <w:sz w:val="14"/>
                <w:szCs w:val="14"/>
                <w:color w:val="auto"/>
              </w:rPr>
            </w:pPr>
          </w:p>
        </w:tc>
      </w:tr>
      <w:tr>
        <w:trPr>
          <w:trHeight w:val="216"/>
        </w:trPr>
        <w:tc>
          <w:tcPr>
            <w:tcW w:w="5060" w:type="dxa"/>
            <w:vAlign w:val="bottom"/>
            <w:tcBorders>
              <w:bottom w:val="single" w:sz="8" w:color="CCFFCC"/>
            </w:tcBorders>
            <w:gridSpan w:val="3"/>
            <w:shd w:val="clear" w:color="auto" w:fill="CCFFCC"/>
          </w:tcPr>
          <w:p>
            <w:pPr>
              <w:ind w:left="60"/>
              <w:spacing w:after="0" w:line="216" w:lineRule="exact"/>
              <w:rPr>
                <w:sz w:val="20"/>
                <w:szCs w:val="20"/>
                <w:color w:val="auto"/>
              </w:rPr>
            </w:pPr>
            <w:r>
              <w:rPr>
                <w:rFonts w:ascii="Arial" w:cs="Arial" w:eastAsia="Arial" w:hAnsi="Arial"/>
                <w:sz w:val="16"/>
                <w:szCs w:val="16"/>
                <w:b w:val="1"/>
                <w:bCs w:val="1"/>
                <w:color w:val="auto"/>
              </w:rPr>
              <w:t>Excess tax benefit on stock vesting</w:t>
            </w:r>
            <w:r>
              <w:rPr>
                <w:rFonts w:ascii="Arial" w:cs="Arial" w:eastAsia="Arial" w:hAnsi="Arial"/>
                <w:sz w:val="21"/>
                <w:szCs w:val="21"/>
                <w:b w:val="1"/>
                <w:bCs w:val="1"/>
                <w:color w:val="auto"/>
                <w:vertAlign w:val="superscript"/>
              </w:rPr>
              <w:t>(2)</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(0.02)</w:t>
            </w:r>
          </w:p>
        </w:tc>
        <w:tc>
          <w:tcPr>
            <w:tcW w:w="200" w:type="dxa"/>
            <w:vAlign w:val="bottom"/>
            <w:tcBorders>
              <w:bottom w:val="single" w:sz="8" w:color="CCFFCC"/>
            </w:tcBorders>
            <w:shd w:val="clear" w:color="auto" w:fill="CCFFCC"/>
          </w:tcPr>
          <w:p>
            <w:pPr>
              <w:spacing w:after="0"/>
              <w:rPr>
                <w:sz w:val="18"/>
                <w:szCs w:val="18"/>
                <w:color w:val="auto"/>
              </w:rPr>
            </w:pPr>
          </w:p>
        </w:tc>
        <w:tc>
          <w:tcPr>
            <w:tcW w:w="40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(0.02)</w:t>
            </w:r>
          </w:p>
        </w:tc>
        <w:tc>
          <w:tcPr>
            <w:tcW w:w="32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CCFFCC"/>
            </w:tcBorders>
            <w:shd w:val="clear" w:color="auto" w:fill="CCFFCC"/>
          </w:tcPr>
          <w:p>
            <w:pPr>
              <w:spacing w:after="0"/>
              <w:rPr>
                <w:sz w:val="18"/>
                <w:szCs w:val="18"/>
                <w:color w:val="auto"/>
              </w:rPr>
            </w:pPr>
          </w:p>
        </w:tc>
        <w:tc>
          <w:tcPr>
            <w:tcW w:w="2280" w:type="dxa"/>
            <w:vAlign w:val="bottom"/>
            <w:tcBorders>
              <w:bottom w:val="single" w:sz="8" w:color="CCFFCC"/>
            </w:tcBorders>
            <w:shd w:val="clear" w:color="auto" w:fill="CCFFCC"/>
          </w:tcPr>
          <w:p>
            <w:pPr>
              <w:spacing w:after="0"/>
              <w:rPr>
                <w:sz w:val="18"/>
                <w:szCs w:val="18"/>
                <w:color w:val="auto"/>
              </w:rPr>
            </w:pPr>
          </w:p>
        </w:tc>
      </w:tr>
      <w:tr>
        <w:trPr>
          <w:trHeight w:val="223"/>
        </w:trPr>
        <w:tc>
          <w:tcPr>
            <w:tcW w:w="5060" w:type="dxa"/>
            <w:vAlign w:val="bottom"/>
            <w:tcBorders>
              <w:bottom w:val="single" w:sz="8" w:color="CCFFCC"/>
            </w:tcBorders>
            <w:gridSpan w:val="3"/>
            <w:shd w:val="clear" w:color="auto" w:fill="CCFFCC"/>
          </w:tcPr>
          <w:p>
            <w:pPr>
              <w:spacing w:after="0" w:line="163" w:lineRule="exact"/>
              <w:rPr>
                <w:sz w:val="20"/>
                <w:szCs w:val="20"/>
                <w:color w:val="auto"/>
              </w:rPr>
            </w:pPr>
            <w:r>
              <w:rPr>
                <w:rFonts w:ascii="Arial" w:cs="Arial" w:eastAsia="Arial" w:hAnsi="Arial"/>
                <w:sz w:val="14"/>
                <w:szCs w:val="14"/>
                <w:b w:val="1"/>
                <w:bCs w:val="1"/>
                <w:color w:val="auto"/>
              </w:rPr>
              <w:t>Adjusted EPS</w:t>
            </w:r>
            <w:r>
              <w:rPr>
                <w:rFonts w:ascii="Arial" w:cs="Arial" w:eastAsia="Arial" w:hAnsi="Arial"/>
                <w:sz w:val="18"/>
                <w:szCs w:val="18"/>
                <w:b w:val="1"/>
                <w:bCs w:val="1"/>
                <w:color w:val="auto"/>
                <w:vertAlign w:val="superscript"/>
              </w:rPr>
              <w:t>(1)</w:t>
            </w:r>
          </w:p>
        </w:tc>
        <w:tc>
          <w:tcPr>
            <w:tcW w:w="1120" w:type="dxa"/>
            <w:vAlign w:val="bottom"/>
            <w:tcBorders>
              <w:bottom w:val="single" w:sz="8" w:color="auto"/>
            </w:tcBorders>
            <w:shd w:val="clear" w:color="auto" w:fill="CCFFCC"/>
          </w:tcPr>
          <w:p>
            <w:pPr>
              <w:jc w:val="right"/>
              <w:spacing w:after="0" w:line="169" w:lineRule="exact"/>
              <w:rPr>
                <w:sz w:val="20"/>
                <w:szCs w:val="20"/>
                <w:color w:val="auto"/>
              </w:rPr>
            </w:pPr>
            <w:r>
              <w:rPr>
                <w:rFonts w:ascii="Arial" w:cs="Arial" w:eastAsia="Arial" w:hAnsi="Arial"/>
                <w:sz w:val="16"/>
                <w:szCs w:val="16"/>
                <w:b w:val="1"/>
                <w:bCs w:val="1"/>
                <w:color w:val="auto"/>
              </w:rPr>
              <w:t>$5.04</w:t>
            </w:r>
          </w:p>
        </w:tc>
        <w:tc>
          <w:tcPr>
            <w:tcW w:w="20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700" w:type="dxa"/>
            <w:vAlign w:val="bottom"/>
            <w:tcBorders>
              <w:bottom w:val="single" w:sz="8" w:color="auto"/>
            </w:tcBorders>
            <w:shd w:val="clear" w:color="auto" w:fill="CCFFCC"/>
          </w:tcPr>
          <w:p>
            <w:pPr>
              <w:jc w:val="right"/>
              <w:spacing w:after="0" w:line="169" w:lineRule="exact"/>
              <w:rPr>
                <w:sz w:val="20"/>
                <w:szCs w:val="20"/>
                <w:color w:val="auto"/>
              </w:rPr>
            </w:pPr>
            <w:r>
              <w:rPr>
                <w:rFonts w:ascii="Arial" w:cs="Arial" w:eastAsia="Arial" w:hAnsi="Arial"/>
                <w:sz w:val="16"/>
                <w:szCs w:val="16"/>
                <w:b w:val="1"/>
                <w:bCs w:val="1"/>
                <w:color w:val="auto"/>
              </w:rPr>
              <w:t>$5.20</w:t>
            </w:r>
          </w:p>
        </w:tc>
        <w:tc>
          <w:tcPr>
            <w:tcW w:w="320" w:type="dxa"/>
            <w:vAlign w:val="bottom"/>
            <w:tcBorders>
              <w:bottom w:val="single" w:sz="8" w:color="CCFFCC"/>
            </w:tcBorders>
            <w:shd w:val="clear" w:color="auto" w:fill="CCFFCC"/>
          </w:tcPr>
          <w:p>
            <w:pPr>
              <w:spacing w:after="0"/>
              <w:rPr>
                <w:sz w:val="19"/>
                <w:szCs w:val="19"/>
                <w:color w:val="auto"/>
              </w:rPr>
            </w:pPr>
          </w:p>
        </w:tc>
        <w:tc>
          <w:tcPr>
            <w:tcW w:w="780" w:type="dxa"/>
            <w:vAlign w:val="bottom"/>
            <w:tcBorders>
              <w:bottom w:val="single" w:sz="8" w:color="CCFFCC"/>
            </w:tcBorders>
            <w:shd w:val="clear" w:color="auto" w:fill="CCFFCC"/>
          </w:tcPr>
          <w:p>
            <w:pPr>
              <w:jc w:val="center"/>
              <w:ind w:left="259"/>
              <w:spacing w:after="0" w:line="169" w:lineRule="exact"/>
              <w:rPr>
                <w:sz w:val="20"/>
                <w:szCs w:val="20"/>
                <w:color w:val="auto"/>
              </w:rPr>
            </w:pPr>
            <w:r>
              <w:rPr>
                <w:rFonts w:ascii="Arial" w:cs="Arial" w:eastAsia="Arial" w:hAnsi="Arial"/>
                <w:sz w:val="16"/>
                <w:szCs w:val="16"/>
                <w:b w:val="1"/>
                <w:bCs w:val="1"/>
                <w:color w:val="auto"/>
              </w:rPr>
              <w:t>0%</w:t>
            </w:r>
          </w:p>
        </w:tc>
        <w:tc>
          <w:tcPr>
            <w:tcW w:w="2280" w:type="dxa"/>
            <w:vAlign w:val="bottom"/>
            <w:tcBorders>
              <w:bottom w:val="single" w:sz="8" w:color="CCFFCC"/>
            </w:tcBorders>
            <w:shd w:val="clear" w:color="auto" w:fill="CCFFCC"/>
          </w:tcPr>
          <w:p>
            <w:pPr>
              <w:jc w:val="center"/>
              <w:ind w:left="439"/>
              <w:spacing w:after="0" w:line="169" w:lineRule="exact"/>
              <w:rPr>
                <w:sz w:val="20"/>
                <w:szCs w:val="20"/>
                <w:color w:val="auto"/>
              </w:rPr>
            </w:pPr>
            <w:r>
              <w:rPr>
                <w:rFonts w:ascii="Arial" w:cs="Arial" w:eastAsia="Arial" w:hAnsi="Arial"/>
                <w:sz w:val="16"/>
                <w:szCs w:val="16"/>
                <w:b w:val="1"/>
                <w:bCs w:val="1"/>
                <w:color w:val="auto"/>
              </w:rPr>
              <w:t>3%</w:t>
            </w:r>
          </w:p>
        </w:tc>
      </w:tr>
    </w:tbl>
    <w:p>
      <w:pPr>
        <w:spacing w:after="0" w:line="180" w:lineRule="exact"/>
        <w:rPr>
          <w:sz w:val="20"/>
          <w:szCs w:val="20"/>
          <w:color w:val="auto"/>
        </w:rPr>
      </w:pPr>
    </w:p>
    <w:p>
      <w:pPr>
        <w:ind w:left="340" w:right="2720" w:hanging="116"/>
        <w:spacing w:after="0" w:line="263" w:lineRule="auto"/>
        <w:tabs>
          <w:tab w:leader="none" w:pos="364"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Adjusted operating margin and adjusted EPS are non-GAAP measures that exclude the impact of equity-based compensation and the related income tax effects, if applicable.</w:t>
      </w:r>
    </w:p>
    <w:p>
      <w:pPr>
        <w:spacing w:after="0" w:line="1" w:lineRule="exact"/>
        <w:rPr>
          <w:rFonts w:ascii="Arial" w:cs="Arial" w:eastAsia="Arial" w:hAnsi="Arial"/>
          <w:sz w:val="17"/>
          <w:szCs w:val="17"/>
          <w:color w:val="auto"/>
          <w:vertAlign w:val="superscript"/>
        </w:rPr>
      </w:pPr>
    </w:p>
    <w:p>
      <w:pPr>
        <w:ind w:left="360" w:hanging="136"/>
        <w:spacing w:after="0"/>
        <w:tabs>
          <w:tab w:leader="none" w:pos="360"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Excess tax benefit on stock vesting expected to occur primarily in the first quarter of 2026.</w:t>
      </w:r>
    </w:p>
    <w:p>
      <w:pPr>
        <w:spacing w:after="0" w:line="200" w:lineRule="exact"/>
        <w:rPr>
          <w:sz w:val="20"/>
          <w:szCs w:val="20"/>
          <w:color w:val="auto"/>
        </w:rPr>
      </w:pPr>
    </w:p>
    <w:p>
      <w:pPr>
        <w:spacing w:after="0" w:line="210" w:lineRule="exact"/>
        <w:rPr>
          <w:sz w:val="20"/>
          <w:szCs w:val="20"/>
          <w:color w:val="auto"/>
        </w:rPr>
      </w:pPr>
    </w:p>
    <w:p>
      <w:pPr>
        <w:jc w:val="both"/>
        <w:ind w:left="760" w:right="960"/>
        <w:spacing w:after="0" w:line="260" w:lineRule="auto"/>
        <w:rPr>
          <w:sz w:val="20"/>
          <w:szCs w:val="20"/>
          <w:color w:val="auto"/>
        </w:rPr>
      </w:pPr>
      <w:r>
        <w:rPr>
          <w:rFonts w:ascii="Arial" w:cs="Arial" w:eastAsia="Arial" w:hAnsi="Arial"/>
          <w:sz w:val="19"/>
          <w:szCs w:val="19"/>
          <w:color w:val="auto"/>
        </w:rPr>
        <w:t>Manhattan Associates currently intends to make public certain expectations with respect to future financial performance. Those statements, including the guidance provided above, are forward looking. Actual results may differ materially. See our cautionary note regarding “forward-looking statements” below.</w:t>
      </w:r>
    </w:p>
    <w:p>
      <w:pPr>
        <w:spacing w:after="0" w:line="154" w:lineRule="exact"/>
        <w:rPr>
          <w:sz w:val="20"/>
          <w:szCs w:val="20"/>
          <w:color w:val="auto"/>
        </w:rPr>
      </w:pPr>
    </w:p>
    <w:p>
      <w:pPr>
        <w:ind w:left="760" w:right="620"/>
        <w:spacing w:after="0" w:line="234" w:lineRule="auto"/>
        <w:rPr>
          <w:sz w:val="20"/>
          <w:szCs w:val="20"/>
          <w:color w:val="auto"/>
        </w:rPr>
      </w:pPr>
      <w:r>
        <w:rPr>
          <w:rFonts w:ascii="Arial" w:cs="Arial" w:eastAsia="Arial" w:hAnsi="Arial"/>
          <w:sz w:val="20"/>
          <w:szCs w:val="20"/>
          <w:color w:val="auto"/>
        </w:rPr>
        <w:t>Manhattan Associates will make this earnings release and a recording of the conference call referenced below available on the investor relations section of the Manhattan Associates website at ir.manh.com. Following publication of this earnings release, any expectations with respect to future financial performance contained in this release or the conference call, including the guidance, should be considered historical only, and Manhattan Associates disclaims any obligation to update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1235075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124460</wp:posOffset>
            </wp:positionV>
            <wp:extent cx="6172200" cy="643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643255"/>
                    </a:xfrm>
                    <a:prstGeom prst="rect">
                      <a:avLst/>
                    </a:prstGeom>
                    <a:noFill/>
                  </pic:spPr>
                </pic:pic>
              </a:graphicData>
            </a:graphic>
          </wp:anchor>
        </w:drawing>
      </w:r>
    </w:p>
    <w:p>
      <w:pPr>
        <w:sectPr>
          <w:pgSz w:w="11900" w:h="16838" w:orient="portrait"/>
          <w:cols w:equalWidth="0" w:num="1">
            <w:col w:w="11080"/>
          </w:cols>
          <w:pgMar w:left="320" w:top="1425" w:right="49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CONFERENCE CALL</w:t>
      </w:r>
    </w:p>
    <w:p>
      <w:pPr>
        <w:spacing w:after="0" w:line="204"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Manhattan Associates’ conference call regarding its fourth quarter and twelve months ended December 31, 2025 financial results will be held today, January 27, 2026, at 4:30 p.m. Eastern Time. The Company will also discuss its business and expectations for the year and next quarter in additional detail during the call. We invite investors to a live webcast of the conference call through the Investor Relations section of the Manhattan Associates website at ir.manh.com. To listen to the live webcast, please go to the website at least 15 minutes before the call to download and install any necessary audio software. The Internet webcast will be available until Manhattan Associates’ first quarter 2026 earnings release.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GAAP VERSUS NON-GAAP PRESENTATION</w:t>
      </w:r>
    </w:p>
    <w:p>
      <w:pPr>
        <w:spacing w:after="0" w:line="204"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Manhattan Associates provides adjusted operating income and margin, adjusted income tax provision, adjusted net income, and adjusted diluted earnings per share in this press release as additional information regarding the Company’s historical and projected operating results. These measures are not in accordance with, or alternatives to, GAAP, and may be different from similarly titled non-GAAP measures used by other companies. The Company believes the presentation of these non-GAAP financial measures facilitates investors’ ability to understand and compare the Company’s results and guidance, because the measures provide supplemental information in evaluating the operating results of its business, as distinct from results that include items not indicative of ongoing operating results, and because the Company believes its peers typically publish similar non-GAAP measures. This release should be read in conjunction with the Company’s Form 8-K earnings release filing for the three and twelve months ended December 31, 2025.</w:t>
      </w:r>
    </w:p>
    <w:p>
      <w:pPr>
        <w:spacing w:after="0" w:line="172"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Non-GAAP adjusted operating income and margin, adjusted income tax provision, adjusted net income, and adjusted diluted earnings per share exclude the impact of equity-based compensation, an expense – net of insurance recoveries, related to an unusual health insurance claim, and restructuring expense – net of income tax effects, collectively. They also exclude the tax benefits or deficiencies of vested stock awards caused by differences in the amount deductible for tax purposes from the compensation expense recorded for financial reporting purposes. We include reconciliations of the Company’s GAAP financial measures to non-GAAP adjustments in the supplemental information attached to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1233170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122555</wp:posOffset>
            </wp:positionV>
            <wp:extent cx="6172200" cy="643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0" cy="643255"/>
                    </a:xfrm>
                    <a:prstGeom prst="rect">
                      <a:avLst/>
                    </a:prstGeom>
                    <a:noFill/>
                  </pic:spPr>
                </pic:pic>
              </a:graphicData>
            </a:graphic>
          </wp:anchor>
        </w:drawing>
      </w:r>
    </w:p>
    <w:p>
      <w:pPr>
        <w:sectPr>
          <w:pgSz w:w="11900" w:h="16838" w:orient="portrait"/>
          <w:cols w:equalWidth="0" w:num="1">
            <w:col w:w="9700"/>
          </w:cols>
          <w:pgMar w:left="1080" w:top="1209" w:right="111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ABOUT MANHATTAN ASSOCIATES</w:t>
      </w:r>
    </w:p>
    <w:p>
      <w:pPr>
        <w:spacing w:after="0" w:line="204" w:lineRule="exact"/>
        <w:rPr>
          <w:sz w:val="20"/>
          <w:szCs w:val="20"/>
          <w:color w:val="auto"/>
        </w:rPr>
      </w:pPr>
    </w:p>
    <w:p>
      <w:pPr>
        <w:ind w:right="440"/>
        <w:spacing w:after="0" w:line="237" w:lineRule="auto"/>
        <w:rPr>
          <w:sz w:val="20"/>
          <w:szCs w:val="20"/>
          <w:color w:val="auto"/>
        </w:rPr>
      </w:pPr>
      <w:r>
        <w:rPr>
          <w:rFonts w:ascii="Arial" w:cs="Arial" w:eastAsia="Arial" w:hAnsi="Arial"/>
          <w:sz w:val="20"/>
          <w:szCs w:val="20"/>
          <w:color w:val="auto"/>
        </w:rPr>
        <w:t>Manhattan Associates is a global technology leader in supply chain and omnichannel commerce. We unite information across the enterprise, converging front-end sales with back-end supply chain execution. Our software, platform technology, and unmatched experience help drive both top-line growth and bottom-line profitability for our customers.</w:t>
      </w:r>
    </w:p>
    <w:p>
      <w:pPr>
        <w:spacing w:after="0" w:line="172" w:lineRule="exact"/>
        <w:rPr>
          <w:sz w:val="20"/>
          <w:szCs w:val="20"/>
          <w:color w:val="auto"/>
        </w:rPr>
      </w:pPr>
    </w:p>
    <w:p>
      <w:pPr>
        <w:ind w:right="400"/>
        <w:spacing w:after="0" w:line="241" w:lineRule="auto"/>
        <w:rPr>
          <w:sz w:val="20"/>
          <w:szCs w:val="20"/>
          <w:color w:val="auto"/>
        </w:rPr>
      </w:pPr>
      <w:r>
        <w:rPr>
          <w:rFonts w:ascii="Arial" w:cs="Arial" w:eastAsia="Arial" w:hAnsi="Arial"/>
          <w:sz w:val="20"/>
          <w:szCs w:val="20"/>
          <w:color w:val="auto"/>
        </w:rPr>
        <w:t>Manhattan Associates designs, builds, and delivers leading edge cloud solutions so that across the store, through your network, or from your fulfillment center, you are ready to reap the rewards of the omnichannel marketplace. For more information, please visit www.manh.com.</w:t>
      </w:r>
    </w:p>
    <w:p>
      <w:pPr>
        <w:spacing w:after="0" w:line="181" w:lineRule="exact"/>
        <w:rPr>
          <w:sz w:val="20"/>
          <w:szCs w:val="20"/>
          <w:color w:val="auto"/>
        </w:rPr>
      </w:pPr>
    </w:p>
    <w:p>
      <w:pPr>
        <w:spacing w:after="0" w:line="249" w:lineRule="auto"/>
        <w:rPr>
          <w:sz w:val="20"/>
          <w:szCs w:val="20"/>
          <w:color w:val="auto"/>
        </w:rPr>
      </w:pPr>
      <w:r>
        <w:rPr>
          <w:rFonts w:ascii="Arial" w:cs="Arial" w:eastAsia="Arial" w:hAnsi="Arial"/>
          <w:sz w:val="16"/>
          <w:szCs w:val="16"/>
          <w:i w:val="1"/>
          <w:iCs w:val="1"/>
          <w:color w:val="auto"/>
        </w:rPr>
        <w:t>This press release contains “forward-looking statements” relating to Manhattan Associates, Inc. Forward-looking statements in this press release include, without limitation, the information set forth under “2026 Guidance” and statements identified by words such as “may,” “expect,” “forecast,” “anticipate,” “intend,” “plan,” “believe,” “could,” “seek,” “project,” “estimate,” and similar expressions. Prospective investors are cautioned that any of those forward-looking statements are not guarantees of future performance and involve risks and uncertainties, and that actual results may differ materially from those contemplated by those forward-looking statements. Among the important factors that could cause actual results to differ materially from those indicated by those forward-looking statements are: economic conditions, including disruption and transformation in the retail sector and our vertical markets; delays in product development; competitive and pricing pressures; software errors and information technology failures, disruption and security breaches; risks related to our products’ technology and customer implementations; risks associated with our use of generative and agentic artificial intelligence; global instability, including the wars in Ukraine and the Middle East; and the other risk factors set forth in Item 1A of the Company’s Annual Report on Form 10-K for the year ended December 31, 2024, and in Item 1A of Part II in subsequent Quarterly Reports on Form 10-Q. Manhattan Associates undertakes no obligation to update or revise forward-looking statements to reflect changed assumptions, the occurrence of unanticipated events or changes in future operating results.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1407795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297180</wp:posOffset>
            </wp:positionV>
            <wp:extent cx="6172200" cy="643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2200" cy="643255"/>
                    </a:xfrm>
                    <a:prstGeom prst="rect">
                      <a:avLst/>
                    </a:prstGeom>
                    <a:noFill/>
                  </pic:spPr>
                </pic:pic>
              </a:graphicData>
            </a:graphic>
          </wp:anchor>
        </w:drawing>
      </w:r>
    </w:p>
    <w:p>
      <w:pPr>
        <w:sectPr>
          <w:pgSz w:w="11900" w:h="16838" w:orient="portrait"/>
          <w:cols w:equalWidth="0" w:num="1">
            <w:col w:w="9740"/>
          </w:cols>
          <w:pgMar w:left="1080" w:top="1209" w:right="10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3180" w:type="dxa"/>
            <w:vAlign w:val="bottom"/>
            <w:tcBorders>
              <w:bottom w:val="single" w:sz="8" w:color="auto"/>
            </w:tcBorders>
            <w:gridSpan w:val="3"/>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60" w:type="dxa"/>
            <w:vAlign w:val="bottom"/>
          </w:tcPr>
          <w:p>
            <w:pPr>
              <w:spacing w:after="0"/>
              <w:rPr>
                <w:sz w:val="15"/>
                <w:szCs w:val="15"/>
                <w:color w:val="auto"/>
              </w:rPr>
            </w:pPr>
          </w:p>
        </w:tc>
        <w:tc>
          <w:tcPr>
            <w:tcW w:w="322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680" w:type="dxa"/>
            <w:vAlign w:val="bottom"/>
          </w:tcPr>
          <w:p>
            <w:pPr>
              <w:spacing w:after="0"/>
              <w:rPr>
                <w:sz w:val="12"/>
                <w:szCs w:val="12"/>
                <w:color w:val="auto"/>
              </w:rPr>
            </w:pPr>
          </w:p>
        </w:tc>
        <w:tc>
          <w:tcPr>
            <w:tcW w:w="1520" w:type="dxa"/>
            <w:vAlign w:val="bottom"/>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60" w:type="dxa"/>
            <w:vAlign w:val="bottom"/>
            <w:gridSpan w:val="2"/>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520" w:type="dxa"/>
            <w:vAlign w:val="bottom"/>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700" w:type="dxa"/>
            <w:vAlign w:val="bottom"/>
            <w:gridSpan w:val="2"/>
          </w:tcPr>
          <w:p>
            <w:pPr>
              <w:jc w:val="right"/>
              <w:ind w:right="5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4680" w:type="dxa"/>
            <w:vAlign w:val="bottom"/>
          </w:tcPr>
          <w:p>
            <w:pPr>
              <w:spacing w:after="0"/>
              <w:rPr>
                <w:sz w:val="12"/>
                <w:szCs w:val="12"/>
                <w:color w:val="auto"/>
              </w:rPr>
            </w:pPr>
          </w:p>
        </w:tc>
        <w:tc>
          <w:tcPr>
            <w:tcW w:w="1520" w:type="dxa"/>
            <w:vAlign w:val="bottom"/>
            <w:tcBorders>
              <w:top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500" w:type="dxa"/>
            <w:vAlign w:val="bottom"/>
            <w:tcBorders>
              <w:top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r>
      <w:tr>
        <w:trPr>
          <w:trHeight w:val="216"/>
        </w:trPr>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Revenue:</w:t>
            </w:r>
          </w:p>
        </w:tc>
        <w:tc>
          <w:tcPr>
            <w:tcW w:w="15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Cloud subscriptions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$108,558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$90,330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$408,138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$337,203</w:t>
            </w:r>
          </w:p>
        </w:tc>
      </w:tr>
      <w:tr>
        <w:trPr>
          <w:trHeight w:val="216"/>
        </w:trPr>
        <w:tc>
          <w:tcPr>
            <w:tcW w:w="468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Software license</w:t>
            </w:r>
          </w:p>
        </w:tc>
        <w:tc>
          <w:tcPr>
            <w:tcW w:w="1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2,643</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16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14,819</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15,085</w:t>
            </w: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Maintenance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32,279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33,568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129,972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138,304</w:t>
            </w:r>
          </w:p>
        </w:tc>
      </w:tr>
      <w:tr>
        <w:trPr>
          <w:trHeight w:val="216"/>
        </w:trPr>
        <w:tc>
          <w:tcPr>
            <w:tcW w:w="468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Services</w:t>
            </w:r>
          </w:p>
        </w:tc>
        <w:tc>
          <w:tcPr>
            <w:tcW w:w="1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120,011</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119,482</w:t>
            </w:r>
          </w:p>
        </w:tc>
        <w:tc>
          <w:tcPr>
            <w:tcW w:w="16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503,044</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525,517</w:t>
            </w: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Hardware</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6,898</w:t>
            </w:r>
          </w:p>
        </w:tc>
        <w:tc>
          <w:tcPr>
            <w:tcW w:w="1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1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25,419</w:t>
            </w:r>
          </w:p>
        </w:tc>
        <w:tc>
          <w:tcPr>
            <w:tcW w:w="16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26,243</w:t>
            </w:r>
          </w:p>
        </w:tc>
      </w:tr>
      <w:tr>
        <w:trPr>
          <w:trHeight w:val="209"/>
        </w:trPr>
        <w:tc>
          <w:tcPr>
            <w:tcW w:w="468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270,389</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255,801</w:t>
            </w:r>
          </w:p>
        </w:tc>
        <w:tc>
          <w:tcPr>
            <w:tcW w:w="16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1,081,392</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1,042,352</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468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Cost of cloud subscriptions, maintenance and services</w:t>
            </w:r>
          </w:p>
        </w:tc>
        <w:tc>
          <w:tcPr>
            <w:tcW w:w="1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121,522</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112,739</w:t>
            </w:r>
          </w:p>
        </w:tc>
        <w:tc>
          <w:tcPr>
            <w:tcW w:w="16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471,405</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469,659</w:t>
            </w: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software license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934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16"/>
        </w:trPr>
        <w:tc>
          <w:tcPr>
            <w:tcW w:w="468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38,533</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32,996</w:t>
            </w:r>
          </w:p>
        </w:tc>
        <w:tc>
          <w:tcPr>
            <w:tcW w:w="16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145,062</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137,689</w:t>
            </w: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22,078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20,307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81,175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75,976</w:t>
            </w:r>
          </w:p>
        </w:tc>
      </w:tr>
      <w:tr>
        <w:trPr>
          <w:trHeight w:val="216"/>
        </w:trPr>
        <w:tc>
          <w:tcPr>
            <w:tcW w:w="468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19,489</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27,187</w:t>
            </w:r>
          </w:p>
        </w:tc>
        <w:tc>
          <w:tcPr>
            <w:tcW w:w="16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93,762</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89,810</w:t>
            </w: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6,317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6,301</w:t>
            </w:r>
          </w:p>
        </w:tc>
      </w:tr>
      <w:tr>
        <w:trPr>
          <w:trHeight w:val="216"/>
        </w:trPr>
        <w:tc>
          <w:tcPr>
            <w:tcW w:w="4680" w:type="dxa"/>
            <w:vAlign w:val="bottom"/>
            <w:tcBorders>
              <w:bottom w:val="single" w:sz="8" w:color="CCFFCC"/>
            </w:tcBorders>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Restructuring expense</w:t>
            </w:r>
          </w:p>
        </w:tc>
        <w:tc>
          <w:tcPr>
            <w:tcW w:w="15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FFCC"/>
            </w:tcBorders>
            <w:shd w:val="clear" w:color="auto" w:fill="CCFFCC"/>
          </w:tcPr>
          <w:p>
            <w:pPr>
              <w:spacing w:after="0"/>
              <w:rPr>
                <w:sz w:val="18"/>
                <w:szCs w:val="18"/>
                <w:color w:val="auto"/>
              </w:rPr>
            </w:pPr>
          </w:p>
        </w:tc>
        <w:tc>
          <w:tcPr>
            <w:tcW w:w="15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FFCC"/>
            </w:tcBorders>
            <w:shd w:val="clear" w:color="auto" w:fill="CCFFCC"/>
          </w:tcPr>
          <w:p>
            <w:pPr>
              <w:spacing w:after="0"/>
              <w:rPr>
                <w:sz w:val="18"/>
                <w:szCs w:val="18"/>
                <w:color w:val="auto"/>
              </w:rPr>
            </w:pPr>
          </w:p>
        </w:tc>
        <w:tc>
          <w:tcPr>
            <w:tcW w:w="15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2,937</w:t>
            </w:r>
          </w:p>
        </w:tc>
        <w:tc>
          <w:tcPr>
            <w:tcW w:w="160" w:type="dxa"/>
            <w:vAlign w:val="bottom"/>
            <w:tcBorders>
              <w:bottom w:val="single" w:sz="8" w:color="CCFFCC"/>
            </w:tcBorders>
            <w:shd w:val="clear" w:color="auto" w:fill="CCFFCC"/>
          </w:tcPr>
          <w:p>
            <w:pPr>
              <w:spacing w:after="0"/>
              <w:rPr>
                <w:sz w:val="18"/>
                <w:szCs w:val="18"/>
                <w:color w:val="auto"/>
              </w:rPr>
            </w:pPr>
          </w:p>
        </w:tc>
        <w:tc>
          <w:tcPr>
            <w:tcW w:w="15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203,377</w:t>
            </w:r>
          </w:p>
        </w:tc>
        <w:tc>
          <w:tcPr>
            <w:tcW w:w="1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195,113</w:t>
            </w:r>
          </w:p>
        </w:tc>
        <w:tc>
          <w:tcPr>
            <w:tcW w:w="1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801,592</w:t>
            </w:r>
          </w:p>
        </w:tc>
        <w:tc>
          <w:tcPr>
            <w:tcW w:w="16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780,756</w:t>
            </w:r>
          </w:p>
        </w:tc>
      </w:tr>
      <w:tr>
        <w:trPr>
          <w:trHeight w:val="210"/>
        </w:trPr>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67,012</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60,688</w:t>
            </w:r>
          </w:p>
        </w:tc>
        <w:tc>
          <w:tcPr>
            <w:tcW w:w="16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279,800</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261,596</w:t>
            </w: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1,438</w:t>
            </w:r>
          </w:p>
        </w:tc>
        <w:tc>
          <w:tcPr>
            <w:tcW w:w="1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6,094</w:t>
            </w:r>
          </w:p>
        </w:tc>
        <w:tc>
          <w:tcPr>
            <w:tcW w:w="16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w:t>
            </w:r>
          </w:p>
        </w:tc>
      </w:tr>
      <w:tr>
        <w:trPr>
          <w:trHeight w:val="209"/>
        </w:trPr>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68,450</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62,684</w:t>
            </w:r>
          </w:p>
        </w:tc>
        <w:tc>
          <w:tcPr>
            <w:tcW w:w="16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285,894</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266,814</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16,497</w:t>
            </w:r>
          </w:p>
        </w:tc>
        <w:tc>
          <w:tcPr>
            <w:tcW w:w="1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14,668</w:t>
            </w:r>
          </w:p>
        </w:tc>
        <w:tc>
          <w:tcPr>
            <w:tcW w:w="1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65,946</w:t>
            </w:r>
          </w:p>
        </w:tc>
        <w:tc>
          <w:tcPr>
            <w:tcW w:w="16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48,450</w:t>
            </w:r>
          </w:p>
        </w:tc>
      </w:tr>
      <w:tr>
        <w:trPr>
          <w:trHeight w:val="250"/>
        </w:trPr>
        <w:tc>
          <w:tcPr>
            <w:tcW w:w="468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$51,953</w:t>
            </w:r>
          </w:p>
        </w:tc>
        <w:tc>
          <w:tcPr>
            <w:tcW w:w="160" w:type="dxa"/>
            <w:vAlign w:val="bottom"/>
            <w:tcBorders>
              <w:bottom w:val="single" w:sz="8" w:color="CCFFCC"/>
            </w:tcBorders>
            <w:shd w:val="clear" w:color="auto" w:fill="CCFFCC"/>
          </w:tcPr>
          <w:p>
            <w:pPr>
              <w:spacing w:after="0"/>
              <w:rPr>
                <w:sz w:val="21"/>
                <w:szCs w:val="21"/>
                <w:color w:val="auto"/>
              </w:rPr>
            </w:pPr>
          </w:p>
        </w:tc>
        <w:tc>
          <w:tcPr>
            <w:tcW w:w="15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$48,016</w:t>
            </w:r>
          </w:p>
        </w:tc>
        <w:tc>
          <w:tcPr>
            <w:tcW w:w="160" w:type="dxa"/>
            <w:vAlign w:val="bottom"/>
            <w:tcBorders>
              <w:bottom w:val="single" w:sz="8" w:color="CCFFCC"/>
            </w:tcBorders>
            <w:shd w:val="clear" w:color="auto" w:fill="CCFFCC"/>
          </w:tcPr>
          <w:p>
            <w:pPr>
              <w:spacing w:after="0"/>
              <w:rPr>
                <w:sz w:val="21"/>
                <w:szCs w:val="21"/>
                <w:color w:val="auto"/>
              </w:rPr>
            </w:pPr>
          </w:p>
        </w:tc>
        <w:tc>
          <w:tcPr>
            <w:tcW w:w="15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$219,948</w:t>
            </w:r>
          </w:p>
        </w:tc>
        <w:tc>
          <w:tcPr>
            <w:tcW w:w="160" w:type="dxa"/>
            <w:vAlign w:val="bottom"/>
            <w:tcBorders>
              <w:bottom w:val="single" w:sz="8" w:color="CCFFCC"/>
            </w:tcBorders>
            <w:shd w:val="clear" w:color="auto" w:fill="CCFFCC"/>
          </w:tcPr>
          <w:p>
            <w:pPr>
              <w:spacing w:after="0"/>
              <w:rPr>
                <w:sz w:val="21"/>
                <w:szCs w:val="21"/>
                <w:color w:val="auto"/>
              </w:rPr>
            </w:pPr>
          </w:p>
        </w:tc>
        <w:tc>
          <w:tcPr>
            <w:tcW w:w="15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$218,364</w:t>
            </w:r>
          </w:p>
        </w:tc>
      </w:tr>
      <w:tr>
        <w:trPr>
          <w:trHeight w:val="412"/>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0"/>
        </w:trPr>
        <w:tc>
          <w:tcPr>
            <w:tcW w:w="46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680" w:type="dxa"/>
            <w:vAlign w:val="bottom"/>
            <w:shd w:val="clear" w:color="auto" w:fill="CCFFCC"/>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1520" w:type="dxa"/>
            <w:vAlign w:val="bottom"/>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$0.86</w:t>
            </w:r>
          </w:p>
        </w:tc>
        <w:tc>
          <w:tcPr>
            <w:tcW w:w="1660" w:type="dxa"/>
            <w:vAlign w:val="bottom"/>
            <w:gridSpan w:val="2"/>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$0.77</w:t>
            </w:r>
          </w:p>
        </w:tc>
        <w:tc>
          <w:tcPr>
            <w:tcW w:w="1680" w:type="dxa"/>
            <w:vAlign w:val="bottom"/>
            <w:gridSpan w:val="2"/>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$3.60</w:t>
            </w:r>
          </w:p>
        </w:tc>
        <w:tc>
          <w:tcPr>
            <w:tcW w:w="1700" w:type="dxa"/>
            <w:vAlign w:val="bottom"/>
            <w:gridSpan w:val="2"/>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$3.51</w:t>
            </w:r>
          </w:p>
        </w:tc>
      </w:tr>
      <w:tr>
        <w:trPr>
          <w:trHeight w:val="413"/>
        </w:trPr>
        <w:tc>
          <w:tcPr>
            <w:tcW w:w="4680" w:type="dxa"/>
            <w:vAlign w:val="bottom"/>
            <w:tcBorders>
              <w:top w:val="single" w:sz="8" w:color="CCFFCC"/>
            </w:tcBorders>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52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r>
      <w:tr>
        <w:trPr>
          <w:trHeight w:val="216"/>
        </w:trPr>
        <w:tc>
          <w:tcPr>
            <w:tcW w:w="468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60,036</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60,999</w:t>
            </w:r>
          </w:p>
        </w:tc>
        <w:tc>
          <w:tcPr>
            <w:tcW w:w="16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60,473</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61,303</w:t>
            </w:r>
          </w:p>
        </w:tc>
      </w:tr>
      <w:tr>
        <w:trPr>
          <w:trHeight w:val="238"/>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60,642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62,009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61,054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62,183</w:t>
            </w:r>
          </w:p>
        </w:tc>
      </w:tr>
      <w:tr>
        <w:trPr>
          <w:trHeight w:val="1443"/>
        </w:trPr>
        <w:tc>
          <w:tcPr>
            <w:tcW w:w="46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-2836545</wp:posOffset>
            </wp:positionV>
            <wp:extent cx="1028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-2836545</wp:posOffset>
            </wp:positionV>
            <wp:extent cx="939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-2836545</wp:posOffset>
            </wp:positionV>
            <wp:extent cx="1028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-1979295</wp:posOffset>
            </wp:positionV>
            <wp:extent cx="1028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-1962150</wp:posOffset>
            </wp:positionV>
            <wp:extent cx="1028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-1979295</wp:posOffset>
            </wp:positionV>
            <wp:extent cx="939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-1962150</wp:posOffset>
            </wp:positionV>
            <wp:extent cx="93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-1979295</wp:posOffset>
            </wp:positionV>
            <wp:extent cx="1028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-1962150</wp:posOffset>
            </wp:positionV>
            <wp:extent cx="1028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-1516380</wp:posOffset>
            </wp:positionV>
            <wp:extent cx="1028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-1499235</wp:posOffset>
            </wp:positionV>
            <wp:extent cx="1028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-1516380</wp:posOffset>
            </wp:positionV>
            <wp:extent cx="939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-1499235</wp:posOffset>
            </wp:positionV>
            <wp:extent cx="939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-1516380</wp:posOffset>
            </wp:positionV>
            <wp:extent cx="1028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-1499235</wp:posOffset>
            </wp:positionV>
            <wp:extent cx="1028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Selected GAAP to Non-GAAP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318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6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6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1660" w:type="dxa"/>
            <w:vAlign w:val="bottom"/>
            <w:gridSpan w:val="2"/>
          </w:tcPr>
          <w:p>
            <w:pPr>
              <w:jc w:val="right"/>
              <w:ind w:right="530"/>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680" w:type="dxa"/>
            <w:vAlign w:val="bottom"/>
            <w:gridSpan w:val="2"/>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700" w:type="dxa"/>
            <w:vAlign w:val="bottom"/>
            <w:gridSpan w:val="2"/>
          </w:tcPr>
          <w:p>
            <w:pPr>
              <w:jc w:val="right"/>
              <w:ind w:right="550"/>
              <w:spacing w:after="0" w:line="142" w:lineRule="exact"/>
              <w:rPr>
                <w:sz w:val="20"/>
                <w:szCs w:val="20"/>
                <w:color w:val="auto"/>
              </w:rPr>
            </w:pPr>
            <w:r>
              <w:rPr>
                <w:rFonts w:ascii="Times New Roman" w:cs="Times New Roman" w:eastAsia="Times New Roman" w:hAnsi="Times New Roman"/>
                <w:sz w:val="14"/>
                <w:szCs w:val="14"/>
                <w:color w:val="auto"/>
              </w:rPr>
              <w:t>2024</w:t>
            </w:r>
          </w:p>
        </w:tc>
      </w:tr>
      <w:tr>
        <w:trPr>
          <w:trHeight w:val="142"/>
        </w:trPr>
        <w:tc>
          <w:tcPr>
            <w:tcW w:w="46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r>
      <w:tr>
        <w:trPr>
          <w:trHeight w:val="216"/>
        </w:trPr>
        <w:tc>
          <w:tcPr>
            <w:tcW w:w="55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$67,012</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60,688</w:t>
            </w:r>
          </w:p>
        </w:tc>
        <w:tc>
          <w:tcPr>
            <w:tcW w:w="16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$279,800</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261,596</w:t>
            </w:r>
          </w:p>
        </w:tc>
      </w:tr>
      <w:tr>
        <w:trPr>
          <w:trHeight w:val="216"/>
        </w:trPr>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Equity-based compensation (a)</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30,585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22,592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111,263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93,206</w:t>
            </w:r>
          </w:p>
        </w:tc>
      </w:tr>
      <w:tr>
        <w:trPr>
          <w:trHeight w:val="216"/>
        </w:trPr>
        <w:tc>
          <w:tcPr>
            <w:tcW w:w="5580" w:type="dxa"/>
            <w:vAlign w:val="bottom"/>
            <w:gridSpan w:val="2"/>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Unusual health insurance claim (c)</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(6,224)</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16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(6,882)</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7,002</w:t>
            </w: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expense (d)</w:t>
            </w:r>
          </w:p>
        </w:tc>
        <w:tc>
          <w:tcPr>
            <w:tcW w:w="9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2,937</w:t>
            </w:r>
          </w:p>
        </w:tc>
        <w:tc>
          <w:tcPr>
            <w:tcW w:w="16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r>
        <w:trPr>
          <w:trHeight w:val="250"/>
        </w:trPr>
        <w:tc>
          <w:tcPr>
            <w:tcW w:w="468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Adjusted operating income (Non-GAAP)</w:t>
            </w:r>
          </w:p>
        </w:tc>
        <w:tc>
          <w:tcPr>
            <w:tcW w:w="900" w:type="dxa"/>
            <w:vAlign w:val="bottom"/>
            <w:tcBorders>
              <w:bottom w:val="single" w:sz="8" w:color="auto"/>
            </w:tcBorders>
            <w:shd w:val="clear" w:color="auto" w:fill="CCFFCC"/>
          </w:tcPr>
          <w:p>
            <w:pPr>
              <w:spacing w:after="0"/>
              <w:rPr>
                <w:sz w:val="21"/>
                <w:szCs w:val="21"/>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$91,373</w:t>
            </w:r>
          </w:p>
        </w:tc>
        <w:tc>
          <w:tcPr>
            <w:tcW w:w="160" w:type="dxa"/>
            <w:vAlign w:val="bottom"/>
            <w:tcBorders>
              <w:bottom w:val="single" w:sz="8" w:color="CCFFCC"/>
            </w:tcBorders>
            <w:shd w:val="clear" w:color="auto" w:fill="CCFFCC"/>
          </w:tcPr>
          <w:p>
            <w:pPr>
              <w:spacing w:after="0"/>
              <w:rPr>
                <w:sz w:val="21"/>
                <w:szCs w:val="21"/>
                <w:color w:val="auto"/>
              </w:rPr>
            </w:pPr>
          </w:p>
        </w:tc>
        <w:tc>
          <w:tcPr>
            <w:tcW w:w="15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$90,282</w:t>
            </w:r>
          </w:p>
        </w:tc>
        <w:tc>
          <w:tcPr>
            <w:tcW w:w="160" w:type="dxa"/>
            <w:vAlign w:val="bottom"/>
            <w:tcBorders>
              <w:bottom w:val="single" w:sz="8" w:color="CCFFCC"/>
            </w:tcBorders>
            <w:shd w:val="clear" w:color="auto" w:fill="CCFFCC"/>
          </w:tcPr>
          <w:p>
            <w:pPr>
              <w:spacing w:after="0"/>
              <w:rPr>
                <w:sz w:val="21"/>
                <w:szCs w:val="21"/>
                <w:color w:val="auto"/>
              </w:rPr>
            </w:pPr>
          </w:p>
        </w:tc>
        <w:tc>
          <w:tcPr>
            <w:tcW w:w="15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$387,118</w:t>
            </w:r>
          </w:p>
        </w:tc>
        <w:tc>
          <w:tcPr>
            <w:tcW w:w="160" w:type="dxa"/>
            <w:vAlign w:val="bottom"/>
            <w:tcBorders>
              <w:bottom w:val="single" w:sz="8" w:color="CCFFCC"/>
            </w:tcBorders>
            <w:shd w:val="clear" w:color="auto" w:fill="CCFFCC"/>
          </w:tcPr>
          <w:p>
            <w:pPr>
              <w:spacing w:after="0"/>
              <w:rPr>
                <w:sz w:val="21"/>
                <w:szCs w:val="21"/>
                <w:color w:val="auto"/>
              </w:rPr>
            </w:pPr>
          </w:p>
        </w:tc>
        <w:tc>
          <w:tcPr>
            <w:tcW w:w="15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$361,804</w:t>
            </w:r>
          </w:p>
        </w:tc>
      </w:tr>
      <w:tr>
        <w:trPr>
          <w:trHeight w:val="41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$16,497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14,668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65,946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48,450</w:t>
            </w:r>
          </w:p>
        </w:tc>
      </w:tr>
      <w:tr>
        <w:trPr>
          <w:trHeight w:val="216"/>
        </w:trPr>
        <w:tc>
          <w:tcPr>
            <w:tcW w:w="5580" w:type="dxa"/>
            <w:vAlign w:val="bottom"/>
            <w:gridSpan w:val="2"/>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Equity-based compensation (a)</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4,498</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6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15,247</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14,127</w:t>
            </w:r>
          </w:p>
        </w:tc>
      </w:tr>
      <w:tr>
        <w:trPr>
          <w:trHeight w:val="216"/>
        </w:trPr>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Tax benefit of stock awards vested (b)</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3,928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9,120</w:t>
            </w:r>
          </w:p>
        </w:tc>
      </w:tr>
      <w:tr>
        <w:trPr>
          <w:trHeight w:val="216"/>
        </w:trPr>
        <w:tc>
          <w:tcPr>
            <w:tcW w:w="5580" w:type="dxa"/>
            <w:vAlign w:val="bottom"/>
            <w:gridSpan w:val="2"/>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Unusual health insurance claim (c)</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(1,501)</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6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(1,660)</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1,690</w:t>
            </w: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expense (d)</w:t>
            </w:r>
          </w:p>
        </w:tc>
        <w:tc>
          <w:tcPr>
            <w:tcW w:w="9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708</w:t>
            </w:r>
          </w:p>
        </w:tc>
        <w:tc>
          <w:tcPr>
            <w:tcW w:w="16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68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Adjusted income tax provision (Non-GAAP)</w:t>
            </w:r>
          </w:p>
        </w:tc>
        <w:tc>
          <w:tcPr>
            <w:tcW w:w="900" w:type="dxa"/>
            <w:vAlign w:val="bottom"/>
            <w:tcBorders>
              <w:bottom w:val="single" w:sz="8" w:color="auto"/>
            </w:tcBorders>
            <w:shd w:val="clear" w:color="auto" w:fill="CCFFCC"/>
          </w:tcPr>
          <w:p>
            <w:pPr>
              <w:spacing w:after="0"/>
              <w:rPr>
                <w:sz w:val="21"/>
                <w:szCs w:val="21"/>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$19,498</w:t>
            </w:r>
          </w:p>
        </w:tc>
        <w:tc>
          <w:tcPr>
            <w:tcW w:w="160" w:type="dxa"/>
            <w:vAlign w:val="bottom"/>
            <w:tcBorders>
              <w:bottom w:val="single" w:sz="8" w:color="CCFFCC"/>
            </w:tcBorders>
            <w:shd w:val="clear" w:color="auto" w:fill="CCFFCC"/>
          </w:tcPr>
          <w:p>
            <w:pPr>
              <w:spacing w:after="0"/>
              <w:rPr>
                <w:sz w:val="21"/>
                <w:szCs w:val="21"/>
                <w:color w:val="auto"/>
              </w:rPr>
            </w:pPr>
          </w:p>
        </w:tc>
        <w:tc>
          <w:tcPr>
            <w:tcW w:w="15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19,575</w:t>
            </w:r>
          </w:p>
        </w:tc>
        <w:tc>
          <w:tcPr>
            <w:tcW w:w="160" w:type="dxa"/>
            <w:vAlign w:val="bottom"/>
            <w:tcBorders>
              <w:bottom w:val="single" w:sz="8" w:color="CCFFCC"/>
            </w:tcBorders>
            <w:shd w:val="clear" w:color="auto" w:fill="CCFFCC"/>
          </w:tcPr>
          <w:p>
            <w:pPr>
              <w:spacing w:after="0"/>
              <w:rPr>
                <w:sz w:val="21"/>
                <w:szCs w:val="21"/>
                <w:color w:val="auto"/>
              </w:rPr>
            </w:pPr>
          </w:p>
        </w:tc>
        <w:tc>
          <w:tcPr>
            <w:tcW w:w="15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84,169</w:t>
            </w:r>
          </w:p>
        </w:tc>
        <w:tc>
          <w:tcPr>
            <w:tcW w:w="160" w:type="dxa"/>
            <w:vAlign w:val="bottom"/>
            <w:tcBorders>
              <w:bottom w:val="single" w:sz="8" w:color="CCFFCC"/>
            </w:tcBorders>
            <w:shd w:val="clear" w:color="auto" w:fill="CCFFCC"/>
          </w:tcPr>
          <w:p>
            <w:pPr>
              <w:spacing w:after="0"/>
              <w:rPr>
                <w:sz w:val="21"/>
                <w:szCs w:val="21"/>
                <w:color w:val="auto"/>
              </w:rPr>
            </w:pPr>
          </w:p>
        </w:tc>
        <w:tc>
          <w:tcPr>
            <w:tcW w:w="15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73,387</w:t>
            </w:r>
          </w:p>
        </w:tc>
      </w:tr>
      <w:tr>
        <w:trPr>
          <w:trHeight w:val="41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$51,953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48,016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219,948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218,364</w:t>
            </w:r>
          </w:p>
        </w:tc>
      </w:tr>
      <w:tr>
        <w:trPr>
          <w:trHeight w:val="216"/>
        </w:trPr>
        <w:tc>
          <w:tcPr>
            <w:tcW w:w="5580" w:type="dxa"/>
            <w:vAlign w:val="bottom"/>
            <w:gridSpan w:val="2"/>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Equity-based compensation (a)</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26,087</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19,432</w:t>
            </w:r>
          </w:p>
        </w:tc>
        <w:tc>
          <w:tcPr>
            <w:tcW w:w="16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96,016</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79,079</w:t>
            </w:r>
          </w:p>
        </w:tc>
      </w:tr>
      <w:tr>
        <w:trPr>
          <w:trHeight w:val="216"/>
        </w:trPr>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Tax benefit of stock awards vested (b)</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(3,928)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(9,120)</w:t>
            </w:r>
          </w:p>
        </w:tc>
      </w:tr>
      <w:tr>
        <w:trPr>
          <w:trHeight w:val="216"/>
        </w:trPr>
        <w:tc>
          <w:tcPr>
            <w:tcW w:w="5580" w:type="dxa"/>
            <w:vAlign w:val="bottom"/>
            <w:gridSpan w:val="2"/>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Unusual health insurance claim (c)</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(4,723)</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6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(5,222)</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5,312</w:t>
            </w: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expense (d)</w:t>
            </w:r>
          </w:p>
        </w:tc>
        <w:tc>
          <w:tcPr>
            <w:tcW w:w="9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2,229</w:t>
            </w:r>
          </w:p>
        </w:tc>
        <w:tc>
          <w:tcPr>
            <w:tcW w:w="16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68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Adjusted net income (Non-GAAP)</w:t>
            </w:r>
          </w:p>
        </w:tc>
        <w:tc>
          <w:tcPr>
            <w:tcW w:w="900" w:type="dxa"/>
            <w:vAlign w:val="bottom"/>
            <w:tcBorders>
              <w:bottom w:val="single" w:sz="8" w:color="auto"/>
            </w:tcBorders>
            <w:shd w:val="clear" w:color="auto" w:fill="CCFFCC"/>
          </w:tcPr>
          <w:p>
            <w:pPr>
              <w:spacing w:after="0"/>
              <w:rPr>
                <w:sz w:val="21"/>
                <w:szCs w:val="21"/>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$73,313</w:t>
            </w:r>
          </w:p>
        </w:tc>
        <w:tc>
          <w:tcPr>
            <w:tcW w:w="160" w:type="dxa"/>
            <w:vAlign w:val="bottom"/>
            <w:tcBorders>
              <w:bottom w:val="single" w:sz="8" w:color="CCFFCC"/>
            </w:tcBorders>
            <w:shd w:val="clear" w:color="auto" w:fill="CCFFCC"/>
          </w:tcPr>
          <w:p>
            <w:pPr>
              <w:spacing w:after="0"/>
              <w:rPr>
                <w:sz w:val="21"/>
                <w:szCs w:val="21"/>
                <w:color w:val="auto"/>
              </w:rPr>
            </w:pPr>
          </w:p>
        </w:tc>
        <w:tc>
          <w:tcPr>
            <w:tcW w:w="15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72,703</w:t>
            </w:r>
          </w:p>
        </w:tc>
        <w:tc>
          <w:tcPr>
            <w:tcW w:w="160" w:type="dxa"/>
            <w:vAlign w:val="bottom"/>
            <w:tcBorders>
              <w:bottom w:val="single" w:sz="8" w:color="CCFFCC"/>
            </w:tcBorders>
            <w:shd w:val="clear" w:color="auto" w:fill="CCFFCC"/>
          </w:tcPr>
          <w:p>
            <w:pPr>
              <w:spacing w:after="0"/>
              <w:rPr>
                <w:sz w:val="21"/>
                <w:szCs w:val="21"/>
                <w:color w:val="auto"/>
              </w:rPr>
            </w:pPr>
          </w:p>
        </w:tc>
        <w:tc>
          <w:tcPr>
            <w:tcW w:w="15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309,043</w:t>
            </w:r>
          </w:p>
        </w:tc>
        <w:tc>
          <w:tcPr>
            <w:tcW w:w="160" w:type="dxa"/>
            <w:vAlign w:val="bottom"/>
            <w:tcBorders>
              <w:bottom w:val="single" w:sz="8" w:color="CCFFCC"/>
            </w:tcBorders>
            <w:shd w:val="clear" w:color="auto" w:fill="CCFFCC"/>
          </w:tcPr>
          <w:p>
            <w:pPr>
              <w:spacing w:after="0"/>
              <w:rPr>
                <w:sz w:val="21"/>
                <w:szCs w:val="21"/>
                <w:color w:val="auto"/>
              </w:rPr>
            </w:pPr>
          </w:p>
        </w:tc>
        <w:tc>
          <w:tcPr>
            <w:tcW w:w="15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293,635</w:t>
            </w:r>
          </w:p>
        </w:tc>
      </w:tr>
      <w:tr>
        <w:trPr>
          <w:trHeight w:val="412"/>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EPS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5580" w:type="dxa"/>
            <w:vAlign w:val="bottom"/>
            <w:gridSpan w:val="2"/>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Equity-based compensation (a)</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0.43</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6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Tax benefit of stock awards vested (b)</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5580" w:type="dxa"/>
            <w:vAlign w:val="bottom"/>
            <w:gridSpan w:val="2"/>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Unusual health insurance claim (c)</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(0.08)</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6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expense (d)</w:t>
            </w:r>
          </w:p>
        </w:tc>
        <w:tc>
          <w:tcPr>
            <w:tcW w:w="9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16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68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Adjusted diluted EPS (Non-GAAP)</w:t>
            </w:r>
          </w:p>
        </w:tc>
        <w:tc>
          <w:tcPr>
            <w:tcW w:w="900" w:type="dxa"/>
            <w:vAlign w:val="bottom"/>
            <w:tcBorders>
              <w:bottom w:val="single" w:sz="8" w:color="auto"/>
            </w:tcBorders>
            <w:shd w:val="clear" w:color="auto" w:fill="CCFFCC"/>
          </w:tcPr>
          <w:p>
            <w:pPr>
              <w:spacing w:after="0"/>
              <w:rPr>
                <w:sz w:val="21"/>
                <w:szCs w:val="21"/>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60" w:type="dxa"/>
            <w:vAlign w:val="bottom"/>
            <w:tcBorders>
              <w:bottom w:val="single" w:sz="8" w:color="CCFFCC"/>
            </w:tcBorders>
            <w:shd w:val="clear" w:color="auto" w:fill="CCFFCC"/>
          </w:tcPr>
          <w:p>
            <w:pPr>
              <w:spacing w:after="0"/>
              <w:rPr>
                <w:sz w:val="21"/>
                <w:szCs w:val="21"/>
                <w:color w:val="auto"/>
              </w:rPr>
            </w:pPr>
          </w:p>
        </w:tc>
        <w:tc>
          <w:tcPr>
            <w:tcW w:w="15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Borders>
              <w:bottom w:val="single" w:sz="8" w:color="CCFFCC"/>
            </w:tcBorders>
            <w:shd w:val="clear" w:color="auto" w:fill="CCFFCC"/>
          </w:tcPr>
          <w:p>
            <w:pPr>
              <w:spacing w:after="0"/>
              <w:rPr>
                <w:sz w:val="21"/>
                <w:szCs w:val="21"/>
                <w:color w:val="auto"/>
              </w:rPr>
            </w:pPr>
          </w:p>
        </w:tc>
        <w:tc>
          <w:tcPr>
            <w:tcW w:w="15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160" w:type="dxa"/>
            <w:vAlign w:val="bottom"/>
            <w:tcBorders>
              <w:bottom w:val="single" w:sz="8" w:color="CCFFCC"/>
            </w:tcBorders>
            <w:shd w:val="clear" w:color="auto" w:fill="CCFFCC"/>
          </w:tcPr>
          <w:p>
            <w:pPr>
              <w:spacing w:after="0"/>
              <w:rPr>
                <w:sz w:val="21"/>
                <w:szCs w:val="21"/>
                <w:color w:val="auto"/>
              </w:rPr>
            </w:pPr>
          </w:p>
        </w:tc>
        <w:tc>
          <w:tcPr>
            <w:tcW w:w="15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41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Fully diluted shares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60,642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62,009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61,054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-3282315</wp:posOffset>
            </wp:positionV>
            <wp:extent cx="1028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-3265170</wp:posOffset>
            </wp:positionV>
            <wp:extent cx="1028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-3282315</wp:posOffset>
            </wp:positionV>
            <wp:extent cx="1028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-3265170</wp:posOffset>
            </wp:positionV>
            <wp:extent cx="1028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-3282315</wp:posOffset>
            </wp:positionV>
            <wp:extent cx="1028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-3265170</wp:posOffset>
            </wp:positionV>
            <wp:extent cx="1028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-2287905</wp:posOffset>
            </wp:positionV>
            <wp:extent cx="102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-2271395</wp:posOffset>
            </wp:positionV>
            <wp:extent cx="1028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-2287905</wp:posOffset>
            </wp:positionV>
            <wp:extent cx="1028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-2271395</wp:posOffset>
            </wp:positionV>
            <wp:extent cx="1028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-2287905</wp:posOffset>
            </wp:positionV>
            <wp:extent cx="1028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-2271395</wp:posOffset>
            </wp:positionV>
            <wp:extent cx="1028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-1293495</wp:posOffset>
            </wp:positionV>
            <wp:extent cx="1028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-1276985</wp:posOffset>
            </wp:positionV>
            <wp:extent cx="1028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-1293495</wp:posOffset>
            </wp:positionV>
            <wp:extent cx="1028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-1276985</wp:posOffset>
            </wp:positionV>
            <wp:extent cx="1028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-1293495</wp:posOffset>
            </wp:positionV>
            <wp:extent cx="1028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-1276985</wp:posOffset>
            </wp:positionV>
            <wp:extent cx="1028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-299720</wp:posOffset>
            </wp:positionV>
            <wp:extent cx="1028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-282575</wp:posOffset>
            </wp:positionV>
            <wp:extent cx="1028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-299720</wp:posOffset>
            </wp:positionV>
            <wp:extent cx="1028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-282575</wp:posOffset>
            </wp:positionV>
            <wp:extent cx="1028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-299720</wp:posOffset>
            </wp:positionV>
            <wp:extent cx="1028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-282575</wp:posOffset>
            </wp:positionV>
            <wp:extent cx="1028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70" w:lineRule="exact"/>
        <w:rPr>
          <w:sz w:val="20"/>
          <w:szCs w:val="20"/>
          <w:color w:val="auto"/>
        </w:rPr>
      </w:pPr>
    </w:p>
    <w:p>
      <w:pPr>
        <w:jc w:val="both"/>
        <w:ind w:left="380" w:right="40" w:hanging="372"/>
        <w:spacing w:after="0" w:line="266"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results exclude all equity-based compensation, as detailed below, to facilitate comparison with our peers and for the other reasons explained in our Current Report on Form 8-K filed with the SEC. We do not receive a GAAP tax benefit for a portion of our equity-based compensation, mainly because of Section 162(m) of the Internal Revenue Code, which limits tax deductions for compensation granted to certain executives.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318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60" w:type="dxa"/>
            <w:vAlign w:val="bottom"/>
          </w:tcPr>
          <w:p>
            <w:pPr>
              <w:spacing w:after="0"/>
              <w:rPr>
                <w:sz w:val="15"/>
                <w:szCs w:val="15"/>
                <w:color w:val="auto"/>
              </w:rPr>
            </w:pPr>
          </w:p>
        </w:tc>
        <w:tc>
          <w:tcPr>
            <w:tcW w:w="32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6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1660" w:type="dxa"/>
            <w:vAlign w:val="bottom"/>
            <w:gridSpan w:val="2"/>
          </w:tcPr>
          <w:p>
            <w:pPr>
              <w:jc w:val="right"/>
              <w:ind w:right="530"/>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60" w:type="dxa"/>
            <w:vAlign w:val="bottom"/>
          </w:tcPr>
          <w:p>
            <w:pPr>
              <w:spacing w:after="0"/>
              <w:rPr>
                <w:sz w:val="12"/>
                <w:szCs w:val="12"/>
                <w:color w:val="auto"/>
              </w:rPr>
            </w:pPr>
          </w:p>
        </w:tc>
        <w:tc>
          <w:tcPr>
            <w:tcW w:w="1520" w:type="dxa"/>
            <w:vAlign w:val="bottom"/>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700" w:type="dxa"/>
            <w:vAlign w:val="bottom"/>
            <w:gridSpan w:val="2"/>
          </w:tcPr>
          <w:p>
            <w:pPr>
              <w:jc w:val="right"/>
              <w:ind w:right="550"/>
              <w:spacing w:after="0" w:line="142" w:lineRule="exact"/>
              <w:rPr>
                <w:sz w:val="20"/>
                <w:szCs w:val="20"/>
                <w:color w:val="auto"/>
              </w:rPr>
            </w:pPr>
            <w:r>
              <w:rPr>
                <w:rFonts w:ascii="Times New Roman" w:cs="Times New Roman" w:eastAsia="Times New Roman" w:hAnsi="Times New Roman"/>
                <w:sz w:val="14"/>
                <w:szCs w:val="14"/>
                <w:color w:val="auto"/>
              </w:rPr>
              <w:t>2024</w:t>
            </w:r>
          </w:p>
        </w:tc>
      </w:tr>
      <w:tr>
        <w:trPr>
          <w:trHeight w:val="210"/>
        </w:trPr>
        <w:tc>
          <w:tcPr>
            <w:tcW w:w="46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r>
      <w:tr>
        <w:trPr>
          <w:trHeight w:val="216"/>
        </w:trPr>
        <w:tc>
          <w:tcPr>
            <w:tcW w:w="5580" w:type="dxa"/>
            <w:vAlign w:val="bottom"/>
            <w:gridSpan w:val="2"/>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Cost of services</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$12,275</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$10,049</w:t>
            </w:r>
          </w:p>
        </w:tc>
        <w:tc>
          <w:tcPr>
            <w:tcW w:w="16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$45,630</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$41,531</w:t>
            </w:r>
          </w:p>
        </w:tc>
      </w:tr>
      <w:tr>
        <w:trPr>
          <w:trHeight w:val="216"/>
        </w:trPr>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6,744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24,592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20,760</w:t>
            </w:r>
          </w:p>
        </w:tc>
      </w:tr>
      <w:tr>
        <w:trPr>
          <w:trHeight w:val="216"/>
        </w:trPr>
        <w:tc>
          <w:tcPr>
            <w:tcW w:w="5580" w:type="dxa"/>
            <w:vAlign w:val="bottom"/>
            <w:gridSpan w:val="2"/>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3,400</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6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9,094</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8,444</w:t>
            </w: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8,166</w:t>
            </w:r>
          </w:p>
        </w:tc>
        <w:tc>
          <w:tcPr>
            <w:tcW w:w="1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1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31,947</w:t>
            </w:r>
          </w:p>
        </w:tc>
        <w:tc>
          <w:tcPr>
            <w:tcW w:w="16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22,471</w:t>
            </w:r>
          </w:p>
        </w:tc>
      </w:tr>
      <w:tr>
        <w:trPr>
          <w:trHeight w:val="250"/>
        </w:trPr>
        <w:tc>
          <w:tcPr>
            <w:tcW w:w="468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900" w:type="dxa"/>
            <w:vAlign w:val="bottom"/>
            <w:tcBorders>
              <w:bottom w:val="single" w:sz="8" w:color="auto"/>
            </w:tcBorders>
            <w:shd w:val="clear" w:color="auto" w:fill="CCFFCC"/>
          </w:tcPr>
          <w:p>
            <w:pPr>
              <w:spacing w:after="0"/>
              <w:rPr>
                <w:sz w:val="21"/>
                <w:szCs w:val="21"/>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$30,585</w:t>
            </w:r>
          </w:p>
        </w:tc>
        <w:tc>
          <w:tcPr>
            <w:tcW w:w="160" w:type="dxa"/>
            <w:vAlign w:val="bottom"/>
            <w:tcBorders>
              <w:bottom w:val="single" w:sz="8" w:color="CCFFCC"/>
            </w:tcBorders>
            <w:shd w:val="clear" w:color="auto" w:fill="CCFFCC"/>
          </w:tcPr>
          <w:p>
            <w:pPr>
              <w:spacing w:after="0"/>
              <w:rPr>
                <w:sz w:val="21"/>
                <w:szCs w:val="21"/>
                <w:color w:val="auto"/>
              </w:rPr>
            </w:pPr>
          </w:p>
        </w:tc>
        <w:tc>
          <w:tcPr>
            <w:tcW w:w="15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$22,592</w:t>
            </w:r>
          </w:p>
        </w:tc>
        <w:tc>
          <w:tcPr>
            <w:tcW w:w="160" w:type="dxa"/>
            <w:vAlign w:val="bottom"/>
            <w:tcBorders>
              <w:bottom w:val="single" w:sz="8" w:color="CCFFCC"/>
            </w:tcBorders>
            <w:shd w:val="clear" w:color="auto" w:fill="CCFFCC"/>
          </w:tcPr>
          <w:p>
            <w:pPr>
              <w:spacing w:after="0"/>
              <w:rPr>
                <w:sz w:val="21"/>
                <w:szCs w:val="21"/>
                <w:color w:val="auto"/>
              </w:rPr>
            </w:pPr>
          </w:p>
        </w:tc>
        <w:tc>
          <w:tcPr>
            <w:tcW w:w="15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$111,263</w:t>
            </w:r>
          </w:p>
        </w:tc>
        <w:tc>
          <w:tcPr>
            <w:tcW w:w="160" w:type="dxa"/>
            <w:vAlign w:val="bottom"/>
            <w:tcBorders>
              <w:bottom w:val="single" w:sz="8" w:color="CCFFCC"/>
            </w:tcBorders>
            <w:shd w:val="clear" w:color="auto" w:fill="CCFFCC"/>
          </w:tcPr>
          <w:p>
            <w:pPr>
              <w:spacing w:after="0"/>
              <w:rPr>
                <w:sz w:val="21"/>
                <w:szCs w:val="21"/>
                <w:color w:val="auto"/>
              </w:rPr>
            </w:pPr>
          </w:p>
        </w:tc>
        <w:tc>
          <w:tcPr>
            <w:tcW w:w="15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$93,206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-24765</wp:posOffset>
            </wp:positionV>
            <wp:extent cx="1028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1028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1028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1028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1028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1028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ind w:left="380" w:right="60" w:hanging="372"/>
        <w:spacing w:after="0" w:line="258"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represent the excess tax benefits and tax deficiencies of the equity awards vested during the period. Excess tax benefits (deficiencies) occur when the amount deductible on our tax return for an equity award is more (less) than the cumulative compensation cost recognized for financial reporting purposes. As discussed above, we exclude equity-based compensation from adjusted non-GAAP results to be consistent with other companies in the software industry and for the other reasons explained in our Current Report on Form 8-K filed with the SEC. Therefore, we also exclude the related tax benefit (expense) generated upon their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ind w:left="372" w:hanging="372"/>
        <w:spacing w:after="0" w:line="256" w:lineRule="auto"/>
        <w:tabs>
          <w:tab w:leader="none" w:pos="37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2024, we recorded $7.0 million of expense for an unusual health insurance claim. During the first quarter of 2025, we received an insurance recovery of $4.7 million for this claim, partially offset by $1.0 million of ongoing expense for the claim. During the second quarter of 2025, we recorded an additional $3.0 million of expense for this unusual health insurance claim. During the fourth quarter of 2025, we settled the remaining balance of the claim and recorded $6.2 million of benefit as the final payment was much lower than the cost estimates previously provided by our health insurance provider. Based on the uncommonly large magnitude and nature of the claim and timing of related insurance recoveries, we do not believe that this expense reflects our normal operating activities, and we have excluded the amount from adjusted non-GAAP results.</w:t>
      </w:r>
    </w:p>
    <w:p>
      <w:pPr>
        <w:spacing w:after="0" w:line="79" w:lineRule="exact"/>
        <w:rPr>
          <w:rFonts w:ascii="Times New Roman" w:cs="Times New Roman" w:eastAsia="Times New Roman" w:hAnsi="Times New Roman"/>
          <w:sz w:val="18"/>
          <w:szCs w:val="18"/>
          <w:color w:val="auto"/>
        </w:rPr>
      </w:pPr>
    </w:p>
    <w:p>
      <w:pPr>
        <w:ind w:left="372" w:right="160" w:hanging="372"/>
        <w:spacing w:after="0" w:line="261" w:lineRule="auto"/>
        <w:tabs>
          <w:tab w:leader="none" w:pos="37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the Company eliminated about 100 positions to align our services capacity with customer demand, which has been impacted by macro-economic uncertainty. We recorded pre-tax restructuring expense in the first quarter of 2025 of approximately $2.9 million. The expense primarily consists of employee severance and outplacement services. We do not believe that the expense is a common cost that resulted from normal operating activities, and thus we have excluded the amount from adjusted non-GAAP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901700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9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32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FFCC"/>
          </w:tcPr>
          <w:p>
            <w:pPr>
              <w:spacing w:after="0"/>
              <w:rPr>
                <w:sz w:val="18"/>
                <w:szCs w:val="18"/>
                <w:color w:val="auto"/>
              </w:rPr>
            </w:pPr>
          </w:p>
        </w:tc>
        <w:tc>
          <w:tcPr>
            <w:tcW w:w="4940" w:type="dxa"/>
            <w:vAlign w:val="bottom"/>
            <w:gridSpan w:val="2"/>
            <w:shd w:val="clear" w:color="auto" w:fill="CCFFCC"/>
          </w:tcPr>
          <w:p>
            <w:pPr>
              <w:jc w:val="right"/>
              <w:ind w:right="40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940" w:type="dxa"/>
            <w:vAlign w:val="bottom"/>
            <w:gridSpan w:val="2"/>
            <w:shd w:val="clear" w:color="auto" w:fill="CCFFCC"/>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328,747</w:t>
            </w:r>
          </w:p>
        </w:tc>
        <w:tc>
          <w:tcPr>
            <w:tcW w:w="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266,230</w:t>
            </w:r>
          </w:p>
        </w:tc>
        <w:tc>
          <w:tcPr>
            <w:tcW w:w="100" w:type="dxa"/>
            <w:vAlign w:val="bottom"/>
            <w:shd w:val="clear" w:color="auto" w:fill="CCFFCC"/>
          </w:tcPr>
          <w:p>
            <w:pPr>
              <w:spacing w:after="0"/>
              <w:rPr>
                <w:sz w:val="18"/>
                <w:szCs w:val="18"/>
                <w:color w:val="auto"/>
              </w:rPr>
            </w:pP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214,679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205,475</w:t>
            </w:r>
          </w:p>
        </w:tc>
        <w:tc>
          <w:tcPr>
            <w:tcW w:w="100" w:type="dxa"/>
            <w:vAlign w:val="bottom"/>
          </w:tcPr>
          <w:p>
            <w:pPr>
              <w:spacing w:after="0"/>
              <w:rPr>
                <w:sz w:val="18"/>
                <w:szCs w:val="18"/>
                <w:color w:val="auto"/>
              </w:rPr>
            </w:pPr>
          </w:p>
        </w:tc>
      </w:tr>
      <w:tr>
        <w:trPr>
          <w:trHeight w:val="216"/>
        </w:trPr>
        <w:tc>
          <w:tcPr>
            <w:tcW w:w="3280" w:type="dxa"/>
            <w:vAlign w:val="bottom"/>
            <w:tcBorders>
              <w:bottom w:val="single" w:sz="8" w:color="CCFFCC"/>
            </w:tcBorders>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00" w:type="dxa"/>
            <w:vAlign w:val="bottom"/>
            <w:tcBorders>
              <w:bottom w:val="single" w:sz="8" w:color="CCFFCC"/>
            </w:tcBorders>
            <w:shd w:val="clear" w:color="auto" w:fill="CCFFCC"/>
          </w:tcPr>
          <w:p>
            <w:pPr>
              <w:spacing w:after="0"/>
              <w:rPr>
                <w:sz w:val="18"/>
                <w:szCs w:val="18"/>
                <w:color w:val="auto"/>
              </w:rPr>
            </w:pPr>
          </w:p>
        </w:tc>
        <w:tc>
          <w:tcPr>
            <w:tcW w:w="54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39,912</w:t>
            </w:r>
          </w:p>
        </w:tc>
        <w:tc>
          <w:tcPr>
            <w:tcW w:w="2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5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31,559</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32"/>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4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583,338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503,264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-159385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1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Goodwill</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assets</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23,120</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13,971</w:t>
            </w:r>
          </w:p>
        </w:tc>
      </w:tr>
      <w:tr>
        <w:trPr>
          <w:trHeight w:val="216"/>
        </w:trPr>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50,443</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47,923</w:t>
            </w:r>
          </w:p>
        </w:tc>
      </w:tr>
      <w:tr>
        <w:trPr>
          <w:trHeight w:val="216"/>
        </w:trPr>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62,244</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62,226</w:t>
            </w:r>
          </w:p>
        </w:tc>
      </w:tr>
      <w:tr>
        <w:trPr>
          <w:trHeight w:val="216"/>
        </w:trPr>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75,900</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94,505</w:t>
            </w:r>
          </w:p>
        </w:tc>
      </w:tr>
      <w:tr>
        <w:trPr>
          <w:trHeight w:val="238"/>
        </w:trPr>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44,343</w:t>
            </w: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35,662</w:t>
            </w:r>
          </w:p>
        </w:tc>
      </w:tr>
      <w:tr>
        <w:trPr>
          <w:trHeight w:val="209"/>
        </w:trPr>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839,388</w:t>
            </w:r>
          </w:p>
        </w:tc>
        <w:tc>
          <w:tcPr>
            <w:tcW w:w="220" w:type="dxa"/>
            <w:vAlign w:val="bottom"/>
          </w:tcPr>
          <w:p>
            <w:pPr>
              <w:spacing w:after="0"/>
              <w:rPr>
                <w:sz w:val="18"/>
                <w:szCs w:val="18"/>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757,551</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-856615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-582295</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-307975</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60" w:space="720"/>
            <w:col w:w="3560"/>
          </w:cols>
          <w:pgMar w:left="320" w:top="981"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shd w:val="clear" w:color="auto" w:fill="CCFFCC"/>
          </w:tcPr>
          <w:p>
            <w:pPr>
              <w:ind w:left="18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shd w:val="clear" w:color="auto" w:fill="CCFFCC"/>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22,182</w:t>
            </w:r>
          </w:p>
        </w:tc>
        <w:tc>
          <w:tcPr>
            <w:tcW w:w="220" w:type="dxa"/>
            <w:vAlign w:val="bottom"/>
            <w:shd w:val="clear" w:color="auto" w:fill="CCFFCC"/>
          </w:tcPr>
          <w:p>
            <w:pPr>
              <w:spacing w:after="0"/>
              <w:rPr>
                <w:sz w:val="18"/>
                <w:szCs w:val="18"/>
                <w:color w:val="auto"/>
              </w:rPr>
            </w:pPr>
          </w:p>
        </w:tc>
        <w:tc>
          <w:tcPr>
            <w:tcW w:w="580" w:type="dxa"/>
            <w:vAlign w:val="bottom"/>
            <w:shd w:val="clear" w:color="auto" w:fill="CCFFC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26,615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69,309</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5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26,570</w:t>
            </w:r>
          </w:p>
        </w:tc>
        <w:tc>
          <w:tcPr>
            <w:tcW w:w="22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22,275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337,049</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CFFCC"/>
            </w:tcBorders>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54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803</w:t>
            </w:r>
          </w:p>
        </w:tc>
        <w:tc>
          <w:tcPr>
            <w:tcW w:w="220" w:type="dxa"/>
            <w:vAlign w:val="bottom"/>
            <w:tcBorders>
              <w:bottom w:val="single" w:sz="8" w:color="CCFFCC"/>
            </w:tcBorders>
            <w:shd w:val="clear" w:color="auto" w:fill="CCFFCC"/>
          </w:tcPr>
          <w:p>
            <w:pPr>
              <w:spacing w:after="0"/>
              <w:rPr>
                <w:sz w:val="18"/>
                <w:szCs w:val="18"/>
                <w:color w:val="auto"/>
              </w:rPr>
            </w:pPr>
          </w:p>
        </w:tc>
        <w:tc>
          <w:tcPr>
            <w:tcW w:w="580" w:type="dxa"/>
            <w:vAlign w:val="bottom"/>
            <w:tcBorders>
              <w:bottom w:val="single" w:sz="8" w:color="auto"/>
            </w:tcBorders>
            <w:shd w:val="clear" w:color="auto" w:fill="CCFFCC"/>
          </w:tcPr>
          <w:p>
            <w:pPr>
              <w:spacing w:after="0"/>
              <w:rPr>
                <w:sz w:val="18"/>
                <w:szCs w:val="18"/>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455,913</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5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56,180</w:t>
            </w:r>
          </w:p>
        </w:tc>
        <w:tc>
          <w:tcPr>
            <w:tcW w:w="22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47,794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12,530</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no par value; 20,000,000 shares authorized, no shares issued or outstanding at</w:t>
            </w:r>
          </w:p>
        </w:tc>
        <w:tc>
          <w:tcPr>
            <w:tcW w:w="5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2025 and December 31, 2024</w:t>
            </w:r>
          </w:p>
        </w:tc>
        <w:tc>
          <w:tcPr>
            <w:tcW w:w="54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680" w:type="dxa"/>
            <w:vAlign w:val="bottom"/>
            <w:shd w:val="clear" w:color="auto" w:fill="CCFFC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$.01 par value; 200,000,000 shares authorized; 59,845,291 and 60,921,191 shares</w:t>
            </w:r>
          </w:p>
        </w:tc>
        <w:tc>
          <w:tcPr>
            <w:tcW w:w="540" w:type="dxa"/>
            <w:vAlign w:val="bottom"/>
            <w:shd w:val="clear" w:color="auto" w:fill="CCFFCC"/>
          </w:tcPr>
          <w:p>
            <w:pPr>
              <w:spacing w:after="0"/>
              <w:rPr>
                <w:sz w:val="17"/>
                <w:szCs w:val="17"/>
                <w:color w:val="auto"/>
              </w:rPr>
            </w:pPr>
          </w:p>
        </w:tc>
        <w:tc>
          <w:tcPr>
            <w:tcW w:w="10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22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8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issued and outstanding at December 31, 2025 and December 31, 2024, respectively</w:t>
            </w:r>
          </w:p>
        </w:tc>
        <w:tc>
          <w:tcPr>
            <w:tcW w:w="540" w:type="dxa"/>
            <w:vAlign w:val="bottom"/>
            <w:shd w:val="clear" w:color="auto" w:fill="CCFFCC"/>
          </w:tcPr>
          <w:p>
            <w:pPr>
              <w:spacing w:after="0"/>
              <w:rPr>
                <w:sz w:val="20"/>
                <w:szCs w:val="20"/>
                <w:color w:val="auto"/>
              </w:rPr>
            </w:pPr>
          </w:p>
        </w:tc>
        <w:tc>
          <w:tcPr>
            <w:tcW w:w="1040" w:type="dxa"/>
            <w:vAlign w:val="bottom"/>
            <w:vMerge w:val="continue"/>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58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345,097</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4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(30,930)</w:t>
            </w:r>
          </w:p>
        </w:tc>
        <w:tc>
          <w:tcPr>
            <w:tcW w:w="5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(30,922)</w:t>
            </w:r>
          </w:p>
        </w:tc>
        <w:tc>
          <w:tcPr>
            <w:tcW w:w="0" w:type="dxa"/>
            <w:vAlign w:val="bottom"/>
          </w:tcPr>
          <w:p>
            <w:pPr>
              <w:spacing w:after="0"/>
              <w:rPr>
                <w:sz w:val="1"/>
                <w:szCs w:val="1"/>
                <w:color w:val="auto"/>
              </w:rPr>
            </w:pPr>
          </w:p>
        </w:tc>
      </w:tr>
      <w:tr>
        <w:trPr>
          <w:trHeight w:val="210"/>
        </w:trPr>
        <w:tc>
          <w:tcPr>
            <w:tcW w:w="7680" w:type="dxa"/>
            <w:vAlign w:val="bottom"/>
            <w:tcBorders>
              <w:top w:val="single" w:sz="8" w:color="CCFFCC"/>
            </w:tcBorders>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314,765</w:t>
            </w:r>
          </w:p>
        </w:tc>
        <w:tc>
          <w:tcPr>
            <w:tcW w:w="220" w:type="dxa"/>
            <w:vAlign w:val="bottom"/>
            <w:tcBorders>
              <w:top w:val="single" w:sz="8" w:color="CCFFCC"/>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299,126</w:t>
            </w: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540" w:type="dxa"/>
            <w:vAlign w:val="bottom"/>
            <w:tcBorders>
              <w:bottom w:val="single" w:sz="8" w:color="auto"/>
            </w:tcBorders>
            <w:shd w:val="clear" w:color="auto" w:fill="CCFFCC"/>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839,388</w:t>
            </w:r>
          </w:p>
        </w:tc>
        <w:tc>
          <w:tcPr>
            <w:tcW w:w="2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757,551</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445"/>
        </w:trPr>
        <w:tc>
          <w:tcPr>
            <w:tcW w:w="76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-2914015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-1259840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-1259840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-967740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-951230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-951230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6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35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6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219,948</w:t>
            </w:r>
          </w:p>
        </w:tc>
        <w:tc>
          <w:tcPr>
            <w:tcW w:w="160" w:type="dxa"/>
            <w:vAlign w:val="bottom"/>
            <w:shd w:val="clear" w:color="auto" w:fill="CCFFCC"/>
          </w:tcPr>
          <w:p>
            <w:pPr>
              <w:spacing w:after="0"/>
              <w:rPr>
                <w:sz w:val="18"/>
                <w:szCs w:val="18"/>
                <w:color w:val="auto"/>
              </w:rPr>
            </w:pPr>
          </w:p>
        </w:tc>
        <w:tc>
          <w:tcPr>
            <w:tcW w:w="46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218,364</w:t>
            </w:r>
          </w:p>
        </w:tc>
        <w:tc>
          <w:tcPr>
            <w:tcW w:w="100" w:type="dxa"/>
            <w:vAlign w:val="bottom"/>
            <w:shd w:val="clear" w:color="auto" w:fill="CCFFCC"/>
          </w:tcPr>
          <w:p>
            <w:pPr>
              <w:spacing w:after="0"/>
              <w:rPr>
                <w:sz w:val="18"/>
                <w:szCs w:val="18"/>
                <w:color w:val="auto"/>
              </w:rPr>
            </w:pPr>
          </w:p>
        </w:tc>
      </w:tr>
      <w:tr>
        <w:trPr>
          <w:trHeight w:val="216"/>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6,317</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100" w:type="dxa"/>
            <w:vAlign w:val="bottom"/>
            <w:shd w:val="clear" w:color="auto" w:fill="CCFFCC"/>
          </w:tcPr>
          <w:p>
            <w:pPr>
              <w:spacing w:after="0"/>
              <w:rPr>
                <w:sz w:val="18"/>
                <w:szCs w:val="18"/>
                <w:color w:val="auto"/>
              </w:rPr>
            </w:pPr>
          </w:p>
        </w:tc>
      </w:tr>
      <w:tr>
        <w:trPr>
          <w:trHeight w:val="216"/>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111,263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93,206</w:t>
            </w:r>
          </w:p>
        </w:tc>
        <w:tc>
          <w:tcPr>
            <w:tcW w:w="100" w:type="dxa"/>
            <w:vAlign w:val="bottom"/>
          </w:tcPr>
          <w:p>
            <w:pPr>
              <w:spacing w:after="0"/>
              <w:rPr>
                <w:sz w:val="18"/>
                <w:szCs w:val="18"/>
                <w:color w:val="auto"/>
              </w:rPr>
            </w:pPr>
          </w:p>
        </w:tc>
      </w:tr>
      <w:tr>
        <w:trPr>
          <w:trHeight w:val="216"/>
        </w:trPr>
        <w:tc>
          <w:tcPr>
            <w:tcW w:w="686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(Gain) Loss on disposal of equipment</w:t>
            </w:r>
          </w:p>
        </w:tc>
        <w:tc>
          <w:tcPr>
            <w:tcW w:w="8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(28,689)</w:t>
            </w:r>
          </w:p>
        </w:tc>
      </w:tr>
      <w:tr>
        <w:trPr>
          <w:trHeight w:val="216"/>
        </w:trPr>
        <w:tc>
          <w:tcPr>
            <w:tcW w:w="686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Unrealized foreign currency loss (gain)</w:t>
            </w:r>
          </w:p>
        </w:tc>
        <w:tc>
          <w:tcPr>
            <w:tcW w:w="8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(253)</w:t>
            </w: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FFCC"/>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8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(3,583)</w:t>
            </w: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(26,702)</w:t>
            </w:r>
          </w:p>
        </w:tc>
      </w:tr>
      <w:tr>
        <w:trPr>
          <w:trHeight w:val="216"/>
        </w:trPr>
        <w:tc>
          <w:tcPr>
            <w:tcW w:w="6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(14,729)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(4,157)</w:t>
            </w:r>
          </w:p>
        </w:tc>
      </w:tr>
      <w:tr>
        <w:trPr>
          <w:trHeight w:val="216"/>
        </w:trPr>
        <w:tc>
          <w:tcPr>
            <w:tcW w:w="6860" w:type="dxa"/>
            <w:vAlign w:val="bottom"/>
            <w:shd w:val="clear" w:color="auto" w:fill="CCFFCC"/>
          </w:tcPr>
          <w:p>
            <w:pPr>
              <w:ind w:left="420"/>
              <w:spacing w:after="0"/>
              <w:rPr>
                <w:sz w:val="20"/>
                <w:szCs w:val="20"/>
                <w:color w:val="auto"/>
              </w:rPr>
            </w:pPr>
            <w:r>
              <w:rPr>
                <w:rFonts w:ascii="Times New Roman" w:cs="Times New Roman" w:eastAsia="Times New Roman" w:hAnsi="Times New Roman"/>
                <w:sz w:val="18"/>
                <w:szCs w:val="18"/>
                <w:color w:val="auto"/>
              </w:rPr>
              <w:t>Accounts payable, accrued and other liabilities</w:t>
            </w:r>
          </w:p>
        </w:tc>
        <w:tc>
          <w:tcPr>
            <w:tcW w:w="8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(229)</w:t>
            </w: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shd w:val="clear" w:color="auto" w:fill="CCFFCC"/>
          </w:tcPr>
          <w:p>
            <w:pPr>
              <w:spacing w:after="0"/>
              <w:rPr>
                <w:sz w:val="18"/>
                <w:szCs w:val="18"/>
                <w:color w:val="auto"/>
              </w:rPr>
            </w:pPr>
          </w:p>
        </w:tc>
      </w:tr>
      <w:tr>
        <w:trPr>
          <w:trHeight w:val="216"/>
        </w:trPr>
        <w:tc>
          <w:tcPr>
            <w:tcW w:w="6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taxes</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(6,242)</w:t>
            </w:r>
          </w:p>
        </w:tc>
      </w:tr>
      <w:tr>
        <w:trPr>
          <w:trHeight w:val="216"/>
        </w:trPr>
        <w:tc>
          <w:tcPr>
            <w:tcW w:w="6860" w:type="dxa"/>
            <w:vAlign w:val="bottom"/>
            <w:tcBorders>
              <w:bottom w:val="single" w:sz="8" w:color="CCFFCC"/>
            </w:tcBorders>
            <w:shd w:val="clear" w:color="auto" w:fill="CCFFCC"/>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880" w:type="dxa"/>
            <w:vAlign w:val="bottom"/>
            <w:tcBorders>
              <w:bottom w:val="single" w:sz="8" w:color="CCFFCC"/>
            </w:tcBorders>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52,096</w:t>
            </w:r>
          </w:p>
        </w:tc>
        <w:tc>
          <w:tcPr>
            <w:tcW w:w="1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42,187</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10"/>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389,470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295,003</w:t>
            </w:r>
          </w:p>
        </w:tc>
        <w:tc>
          <w:tcPr>
            <w:tcW w:w="100" w:type="dxa"/>
            <w:vAlign w:val="bottom"/>
          </w:tcPr>
          <w:p>
            <w:pPr>
              <w:spacing w:after="0"/>
              <w:rPr>
                <w:sz w:val="18"/>
                <w:szCs w:val="18"/>
                <w:color w:val="auto"/>
              </w:rPr>
            </w:pPr>
          </w:p>
        </w:tc>
      </w:tr>
      <w:tr>
        <w:trPr>
          <w:trHeight w:val="425"/>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6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(15,457)</w:t>
            </w: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(8,675)</w:t>
            </w:r>
          </w:p>
        </w:tc>
      </w:tr>
      <w:tr>
        <w:trPr>
          <w:trHeight w:val="210"/>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100" w:type="dxa"/>
            <w:vAlign w:val="bottom"/>
          </w:tcPr>
          <w:p>
            <w:pPr>
              <w:spacing w:after="0"/>
              <w:rPr>
                <w:sz w:val="18"/>
                <w:szCs w:val="18"/>
                <w:color w:val="auto"/>
              </w:rPr>
            </w:pPr>
          </w:p>
        </w:tc>
      </w:tr>
      <w:tr>
        <w:trPr>
          <w:trHeight w:val="425"/>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6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Purchase of common stock</w:t>
            </w:r>
          </w:p>
        </w:tc>
        <w:tc>
          <w:tcPr>
            <w:tcW w:w="8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(315,162)</w:t>
            </w: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(286,366)</w:t>
            </w:r>
          </w:p>
        </w:tc>
      </w:tr>
      <w:tr>
        <w:trPr>
          <w:trHeight w:val="20"/>
        </w:trPr>
        <w:tc>
          <w:tcPr>
            <w:tcW w:w="6860" w:type="dxa"/>
            <w:vAlign w:val="bottom"/>
            <w:shd w:val="clear" w:color="auto" w:fill="CCFFCC"/>
          </w:tcPr>
          <w:p>
            <w:pPr>
              <w:spacing w:after="0" w:line="20" w:lineRule="exact"/>
              <w:rPr>
                <w:sz w:val="1"/>
                <w:szCs w:val="1"/>
                <w:color w:val="auto"/>
              </w:rPr>
            </w:pPr>
          </w:p>
        </w:tc>
        <w:tc>
          <w:tcPr>
            <w:tcW w:w="88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(315,162)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(286,366)</w:t>
            </w:r>
          </w:p>
        </w:tc>
      </w:tr>
      <w:tr>
        <w:trPr>
          <w:trHeight w:val="210"/>
        </w:trPr>
        <w:tc>
          <w:tcPr>
            <w:tcW w:w="6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Foreign currency impact on cash</w:t>
            </w:r>
          </w:p>
        </w:tc>
        <w:tc>
          <w:tcPr>
            <w:tcW w:w="8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3,666</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(4,473)</w:t>
            </w:r>
          </w:p>
        </w:tc>
      </w:tr>
      <w:tr>
        <w:trPr>
          <w:trHeight w:val="210"/>
        </w:trPr>
        <w:tc>
          <w:tcPr>
            <w:tcW w:w="6860" w:type="dxa"/>
            <w:vAlign w:val="bottom"/>
            <w:tcBorders>
              <w:top w:val="single" w:sz="8" w:color="CCFFCC"/>
            </w:tcBorders>
          </w:tcPr>
          <w:p>
            <w:pPr>
              <w:spacing w:after="0"/>
              <w:rPr>
                <w:sz w:val="18"/>
                <w:szCs w:val="18"/>
                <w:color w:val="auto"/>
              </w:rPr>
            </w:pPr>
          </w:p>
        </w:tc>
        <w:tc>
          <w:tcPr>
            <w:tcW w:w="880" w:type="dxa"/>
            <w:vAlign w:val="bottom"/>
            <w:tcBorders>
              <w:top w:val="single" w:sz="8" w:color="CCFFC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6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8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62,517</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(4,511)</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8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266,230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270,741</w:t>
            </w:r>
          </w:p>
        </w:tc>
        <w:tc>
          <w:tcPr>
            <w:tcW w:w="100" w:type="dxa"/>
            <w:vAlign w:val="bottom"/>
          </w:tcPr>
          <w:p>
            <w:pPr>
              <w:spacing w:after="0"/>
              <w:rPr>
                <w:sz w:val="18"/>
                <w:szCs w:val="18"/>
                <w:color w:val="auto"/>
              </w:rPr>
            </w:pPr>
          </w:p>
        </w:tc>
      </w:tr>
      <w:tr>
        <w:trPr>
          <w:trHeight w:val="249"/>
        </w:trPr>
        <w:tc>
          <w:tcPr>
            <w:tcW w:w="6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328,747</w:t>
            </w:r>
          </w:p>
        </w:tc>
        <w:tc>
          <w:tcPr>
            <w:tcW w:w="160" w:type="dxa"/>
            <w:vAlign w:val="bottom"/>
            <w:shd w:val="clear" w:color="auto" w:fill="CCFFCC"/>
          </w:tcPr>
          <w:p>
            <w:pPr>
              <w:spacing w:after="0"/>
              <w:rPr>
                <w:sz w:val="21"/>
                <w:szCs w:val="21"/>
                <w:color w:val="auto"/>
              </w:rPr>
            </w:pPr>
          </w:p>
        </w:tc>
        <w:tc>
          <w:tcPr>
            <w:tcW w:w="46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266,230</w:t>
            </w:r>
          </w:p>
        </w:tc>
        <w:tc>
          <w:tcPr>
            <w:tcW w:w="100" w:type="dxa"/>
            <w:vAlign w:val="bottom"/>
            <w:shd w:val="clear" w:color="auto" w:fill="CCFFCC"/>
          </w:tcPr>
          <w:p>
            <w:pPr>
              <w:spacing w:after="0"/>
              <w:rPr>
                <w:sz w:val="21"/>
                <w:szCs w:val="21"/>
                <w:color w:val="auto"/>
              </w:rPr>
            </w:pPr>
          </w:p>
        </w:tc>
      </w:tr>
      <w:tr>
        <w:trPr>
          <w:trHeight w:val="1662"/>
        </w:trPr>
        <w:tc>
          <w:tcPr>
            <w:tcW w:w="6860" w:type="dxa"/>
            <w:vAlign w:val="bottom"/>
            <w:tcBorders>
              <w:top w:val="single" w:sz="8" w:color="CCFFCC"/>
              <w:bottom w:val="single" w:sz="8" w:color="9A9A9A"/>
            </w:tcBorders>
          </w:tcPr>
          <w:p>
            <w:pPr>
              <w:spacing w:after="0"/>
              <w:rPr>
                <w:sz w:val="24"/>
                <w:szCs w:val="24"/>
                <w:color w:val="auto"/>
              </w:rPr>
            </w:pPr>
          </w:p>
        </w:tc>
        <w:tc>
          <w:tcPr>
            <w:tcW w:w="880" w:type="dxa"/>
            <w:vAlign w:val="bottom"/>
            <w:tcBorders>
              <w:top w:val="single" w:sz="8" w:color="CCFFCC"/>
              <w:bottom w:val="single" w:sz="8" w:color="9A9A9A"/>
            </w:tcBorders>
          </w:tcPr>
          <w:p>
            <w:pPr>
              <w:spacing w:after="0"/>
              <w:rPr>
                <w:sz w:val="24"/>
                <w:szCs w:val="24"/>
                <w:color w:val="auto"/>
              </w:rPr>
            </w:pPr>
          </w:p>
        </w:tc>
        <w:tc>
          <w:tcPr>
            <w:tcW w:w="340" w:type="dxa"/>
            <w:vAlign w:val="bottom"/>
            <w:tcBorders>
              <w:top w:val="single" w:sz="8" w:color="auto"/>
              <w:bottom w:val="single" w:sz="8" w:color="9A9A9A"/>
            </w:tcBorders>
          </w:tcPr>
          <w:p>
            <w:pPr>
              <w:spacing w:after="0"/>
              <w:rPr>
                <w:sz w:val="24"/>
                <w:szCs w:val="24"/>
                <w:color w:val="auto"/>
              </w:rPr>
            </w:pPr>
          </w:p>
        </w:tc>
        <w:tc>
          <w:tcPr>
            <w:tcW w:w="122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CFFCC"/>
              <w:bottom w:val="single" w:sz="8" w:color="9A9A9A"/>
            </w:tcBorders>
          </w:tcPr>
          <w:p>
            <w:pPr>
              <w:spacing w:after="0"/>
              <w:rPr>
                <w:sz w:val="24"/>
                <w:szCs w:val="24"/>
                <w:color w:val="auto"/>
              </w:rPr>
            </w:pPr>
          </w:p>
        </w:tc>
        <w:tc>
          <w:tcPr>
            <w:tcW w:w="120" w:type="dxa"/>
            <w:vAlign w:val="bottom"/>
            <w:tcBorders>
              <w:top w:val="single" w:sz="8" w:color="CCFFCC"/>
              <w:bottom w:val="single" w:sz="8" w:color="9A9A9A"/>
            </w:tcBorders>
          </w:tcPr>
          <w:p>
            <w:pPr>
              <w:spacing w:after="0"/>
              <w:rPr>
                <w:sz w:val="24"/>
                <w:szCs w:val="24"/>
                <w:color w:val="auto"/>
              </w:rPr>
            </w:pPr>
          </w:p>
        </w:tc>
        <w:tc>
          <w:tcPr>
            <w:tcW w:w="340" w:type="dxa"/>
            <w:vAlign w:val="bottom"/>
            <w:tcBorders>
              <w:top w:val="single" w:sz="8" w:color="auto"/>
              <w:bottom w:val="single" w:sz="8" w:color="9A9A9A"/>
            </w:tcBorders>
          </w:tcPr>
          <w:p>
            <w:pPr>
              <w:spacing w:after="0"/>
              <w:rPr>
                <w:sz w:val="24"/>
                <w:szCs w:val="24"/>
                <w:color w:val="auto"/>
              </w:rPr>
            </w:pPr>
          </w:p>
        </w:tc>
        <w:tc>
          <w:tcPr>
            <w:tcW w:w="12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-3231515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-3231515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-2099945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-2099945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-1671320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-1671320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-1105535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-1088390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-1105535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-1088390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MANHATTAN ASSOCIATES,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311"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GAAP and adjusted earnings per share by quarter are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40" w:type="dxa"/>
            <w:vAlign w:val="bottom"/>
          </w:tcPr>
          <w:p>
            <w:pPr>
              <w:spacing w:after="0"/>
              <w:rPr>
                <w:sz w:val="12"/>
                <w:szCs w:val="12"/>
                <w:color w:val="auto"/>
              </w:rPr>
            </w:pPr>
          </w:p>
        </w:tc>
        <w:tc>
          <w:tcPr>
            <w:tcW w:w="74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80" w:type="dxa"/>
            <w:vAlign w:val="bottom"/>
          </w:tcPr>
          <w:p>
            <w:pPr>
              <w:spacing w:after="0"/>
              <w:rPr>
                <w:sz w:val="12"/>
                <w:szCs w:val="12"/>
                <w:color w:val="auto"/>
              </w:rPr>
            </w:pPr>
          </w:p>
        </w:tc>
        <w:tc>
          <w:tcPr>
            <w:tcW w:w="78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20" w:type="dxa"/>
            <w:vAlign w:val="bottom"/>
          </w:tcPr>
          <w:p>
            <w:pPr>
              <w:spacing w:after="0"/>
              <w:rPr>
                <w:sz w:val="12"/>
                <w:szCs w:val="12"/>
                <w:color w:val="auto"/>
              </w:rPr>
            </w:pPr>
          </w:p>
        </w:tc>
        <w:tc>
          <w:tcPr>
            <w:tcW w:w="88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20" w:type="dxa"/>
            <w:vAlign w:val="bottom"/>
          </w:tcPr>
          <w:p>
            <w:pPr>
              <w:spacing w:after="0"/>
              <w:rPr>
                <w:sz w:val="12"/>
                <w:szCs w:val="12"/>
                <w:color w:val="auto"/>
              </w:rPr>
            </w:pPr>
          </w:p>
        </w:tc>
        <w:tc>
          <w:tcPr>
            <w:tcW w:w="88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20" w:type="dxa"/>
            <w:vAlign w:val="bottom"/>
          </w:tcPr>
          <w:p>
            <w:pPr>
              <w:spacing w:after="0"/>
              <w:rPr>
                <w:sz w:val="12"/>
                <w:szCs w:val="12"/>
                <w:color w:val="auto"/>
              </w:rPr>
            </w:pPr>
          </w:p>
        </w:tc>
        <w:tc>
          <w:tcPr>
            <w:tcW w:w="78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60" w:type="dxa"/>
            <w:vAlign w:val="bottom"/>
          </w:tcPr>
          <w:p>
            <w:pPr>
              <w:spacing w:after="0"/>
              <w:rPr>
                <w:sz w:val="12"/>
                <w:szCs w:val="12"/>
                <w:color w:val="auto"/>
              </w:rPr>
            </w:pPr>
          </w:p>
        </w:tc>
      </w:tr>
      <w:tr>
        <w:trPr>
          <w:trHeight w:val="209"/>
        </w:trPr>
        <w:tc>
          <w:tcPr>
            <w:tcW w:w="80" w:type="dxa"/>
            <w:vAlign w:val="bottom"/>
          </w:tcPr>
          <w:p>
            <w:pPr>
              <w:spacing w:after="0"/>
              <w:rPr>
                <w:sz w:val="18"/>
                <w:szCs w:val="18"/>
                <w:color w:val="auto"/>
              </w:rPr>
            </w:pPr>
          </w:p>
        </w:tc>
        <w:tc>
          <w:tcPr>
            <w:tcW w:w="18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GAAP Diluted EPS</w:t>
            </w:r>
          </w:p>
        </w:tc>
        <w:tc>
          <w:tcPr>
            <w:tcW w:w="8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$0.86</w:t>
            </w:r>
          </w:p>
        </w:tc>
        <w:tc>
          <w:tcPr>
            <w:tcW w:w="8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$0.85</w:t>
            </w:r>
          </w:p>
        </w:tc>
        <w:tc>
          <w:tcPr>
            <w:tcW w:w="9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$0.77</w:t>
            </w:r>
          </w:p>
        </w:tc>
        <w:tc>
          <w:tcPr>
            <w:tcW w:w="8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$0.85</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$0.93</w:t>
            </w:r>
          </w:p>
        </w:tc>
        <w:tc>
          <w:tcPr>
            <w:tcW w:w="9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$0.96</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$0.86</w:t>
            </w: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Adjustments to GAAP:</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80" w:type="dxa"/>
            <w:vAlign w:val="bottom"/>
          </w:tcPr>
          <w:p>
            <w:pPr>
              <w:spacing w:after="0"/>
              <w:rPr>
                <w:sz w:val="17"/>
                <w:szCs w:val="17"/>
                <w:color w:val="auto"/>
              </w:rPr>
            </w:pPr>
          </w:p>
        </w:tc>
        <w:tc>
          <w:tcPr>
            <w:tcW w:w="180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Equity-based</w:t>
            </w:r>
          </w:p>
        </w:tc>
        <w:tc>
          <w:tcPr>
            <w:tcW w:w="8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80" w:type="dxa"/>
            <w:vAlign w:val="bottom"/>
          </w:tcPr>
          <w:p>
            <w:pPr>
              <w:spacing w:after="0"/>
              <w:rPr>
                <w:sz w:val="20"/>
                <w:szCs w:val="20"/>
                <w:color w:val="auto"/>
              </w:rPr>
            </w:pPr>
          </w:p>
        </w:tc>
        <w:tc>
          <w:tcPr>
            <w:tcW w:w="18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8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9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8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9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60" w:type="dxa"/>
            <w:vAlign w:val="bottom"/>
          </w:tcPr>
          <w:p>
            <w:pPr>
              <w:spacing w:after="0"/>
              <w:rPr>
                <w:sz w:val="20"/>
                <w:szCs w:val="20"/>
                <w:color w:val="auto"/>
              </w:rPr>
            </w:pPr>
          </w:p>
        </w:tc>
      </w:tr>
      <w:tr>
        <w:trPr>
          <w:trHeight w:val="198"/>
        </w:trPr>
        <w:tc>
          <w:tcPr>
            <w:tcW w:w="80" w:type="dxa"/>
            <w:vAlign w:val="bottom"/>
          </w:tcPr>
          <w:p>
            <w:pPr>
              <w:spacing w:after="0"/>
              <w:rPr>
                <w:sz w:val="17"/>
                <w:szCs w:val="17"/>
                <w:color w:val="auto"/>
              </w:rPr>
            </w:pPr>
          </w:p>
        </w:tc>
        <w:tc>
          <w:tcPr>
            <w:tcW w:w="1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 benefit of stock</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8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awards vested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0" w:type="dxa"/>
            <w:vAlign w:val="bottom"/>
          </w:tcPr>
          <w:p>
            <w:pPr>
              <w:spacing w:after="0"/>
              <w:rPr>
                <w:sz w:val="20"/>
                <w:szCs w:val="20"/>
                <w:color w:val="auto"/>
              </w:rPr>
            </w:pPr>
          </w:p>
        </w:tc>
      </w:tr>
      <w:tr>
        <w:trPr>
          <w:trHeight w:val="198"/>
        </w:trPr>
        <w:tc>
          <w:tcPr>
            <w:tcW w:w="80" w:type="dxa"/>
            <w:vAlign w:val="bottom"/>
          </w:tcPr>
          <w:p>
            <w:pPr>
              <w:spacing w:after="0"/>
              <w:rPr>
                <w:sz w:val="17"/>
                <w:szCs w:val="17"/>
                <w:color w:val="auto"/>
              </w:rPr>
            </w:pPr>
          </w:p>
        </w:tc>
        <w:tc>
          <w:tcPr>
            <w:tcW w:w="180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Unusual health</w:t>
            </w:r>
          </w:p>
        </w:tc>
        <w:tc>
          <w:tcPr>
            <w:tcW w:w="8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80" w:type="dxa"/>
            <w:vAlign w:val="bottom"/>
          </w:tcPr>
          <w:p>
            <w:pPr>
              <w:spacing w:after="0"/>
              <w:rPr>
                <w:sz w:val="20"/>
                <w:szCs w:val="20"/>
                <w:color w:val="auto"/>
              </w:rPr>
            </w:pPr>
          </w:p>
        </w:tc>
        <w:tc>
          <w:tcPr>
            <w:tcW w:w="18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insurance claim</w:t>
            </w:r>
          </w:p>
        </w:tc>
        <w:tc>
          <w:tcPr>
            <w:tcW w:w="8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9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60" w:type="dxa"/>
            <w:vAlign w:val="bottom"/>
          </w:tcPr>
          <w:p>
            <w:pPr>
              <w:spacing w:after="0"/>
              <w:rPr>
                <w:sz w:val="20"/>
                <w:szCs w:val="20"/>
                <w:color w:val="auto"/>
              </w:rPr>
            </w:pPr>
          </w:p>
        </w:tc>
      </w:tr>
      <w:tr>
        <w:trPr>
          <w:trHeight w:val="216"/>
        </w:trPr>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tcPr>
          <w:p>
            <w:pPr>
              <w:spacing w:after="0"/>
              <w:rPr>
                <w:sz w:val="18"/>
                <w:szCs w:val="18"/>
                <w:color w:val="auto"/>
              </w:rPr>
            </w:pPr>
          </w:p>
        </w:tc>
      </w:tr>
      <w:tr>
        <w:trPr>
          <w:trHeight w:val="249"/>
        </w:trPr>
        <w:tc>
          <w:tcPr>
            <w:tcW w:w="80" w:type="dxa"/>
            <w:vAlign w:val="bottom"/>
          </w:tcPr>
          <w:p>
            <w:pPr>
              <w:spacing w:after="0"/>
              <w:rPr>
                <w:sz w:val="21"/>
                <w:szCs w:val="21"/>
                <w:color w:val="auto"/>
              </w:rPr>
            </w:pPr>
          </w:p>
        </w:tc>
        <w:tc>
          <w:tcPr>
            <w:tcW w:w="1800" w:type="dxa"/>
            <w:vAlign w:val="bottom"/>
            <w:tcBorders>
              <w:top w:val="single" w:sz="8" w:color="CCFFCC"/>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Adjusted Diluted EPS</w:t>
            </w: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40" w:type="dxa"/>
            <w:vAlign w:val="bottom"/>
            <w:tcBorders>
              <w:top w:val="single" w:sz="8" w:color="CCFFCC"/>
              <w:bottom w:val="single" w:sz="8" w:color="CCFFCC"/>
            </w:tcBorders>
            <w:shd w:val="clear" w:color="auto" w:fill="CCFFCC"/>
          </w:tcPr>
          <w:p>
            <w:pPr>
              <w:spacing w:after="0"/>
              <w:rPr>
                <w:sz w:val="21"/>
                <w:szCs w:val="21"/>
                <w:color w:val="auto"/>
              </w:rPr>
            </w:pPr>
          </w:p>
        </w:tc>
        <w:tc>
          <w:tcPr>
            <w:tcW w:w="7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180" w:type="dxa"/>
            <w:vAlign w:val="bottom"/>
            <w:tcBorders>
              <w:top w:val="single" w:sz="8" w:color="CCFFCC"/>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$4.72</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6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Fully Diluted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62,493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62,118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61,948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62,009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62,183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61,527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61,074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60,954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60,642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61,054</w:t>
            </w:r>
          </w:p>
        </w:tc>
        <w:tc>
          <w:tcPr>
            <w:tcW w:w="60" w:type="dxa"/>
            <w:vAlign w:val="bottom"/>
          </w:tcPr>
          <w:p>
            <w:pPr>
              <w:spacing w:after="0"/>
              <w:rPr>
                <w:sz w:val="19"/>
                <w:szCs w:val="19"/>
                <w:color w:val="auto"/>
              </w:rPr>
            </w:pPr>
          </w:p>
        </w:tc>
      </w:tr>
      <w:tr>
        <w:trPr>
          <w:trHeight w:val="1443"/>
        </w:trPr>
        <w:tc>
          <w:tcPr>
            <w:tcW w:w="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-1105535</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-1088390</wp:posOffset>
            </wp:positionV>
            <wp:extent cx="857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-1250950</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-1105535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-1088390</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-1250950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-1105535</wp:posOffset>
            </wp:positionV>
            <wp:extent cx="1117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-1088390</wp:posOffset>
            </wp:positionV>
            <wp:extent cx="1117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-1250950</wp:posOffset>
            </wp:positionV>
            <wp:extent cx="1117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-1105535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-1088390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-1250950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-1105535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-1088390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-1250950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-1105535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-1088390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-1250950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-1105535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-1088390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-1250950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-1105535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-1088390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-1250950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-1105535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-1088390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-1250950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ind w:left="360" w:hanging="352"/>
        <w:spacing w:after="0"/>
        <w:tabs>
          <w:tab w:leader="none" w:pos="3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 and operating income by reportable segment are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02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16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78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20" w:type="dxa"/>
            <w:vAlign w:val="bottom"/>
          </w:tcPr>
          <w:p>
            <w:pPr>
              <w:spacing w:after="0"/>
              <w:rPr>
                <w:sz w:val="12"/>
                <w:szCs w:val="12"/>
                <w:color w:val="auto"/>
              </w:rPr>
            </w:pPr>
          </w:p>
        </w:tc>
        <w:tc>
          <w:tcPr>
            <w:tcW w:w="90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20" w:type="dxa"/>
            <w:vAlign w:val="bottom"/>
          </w:tcPr>
          <w:p>
            <w:pPr>
              <w:spacing w:after="0"/>
              <w:rPr>
                <w:sz w:val="12"/>
                <w:szCs w:val="12"/>
                <w:color w:val="auto"/>
              </w:rPr>
            </w:pPr>
          </w:p>
        </w:tc>
        <w:tc>
          <w:tcPr>
            <w:tcW w:w="102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00" w:type="dxa"/>
            <w:vAlign w:val="bottom"/>
          </w:tcPr>
          <w:p>
            <w:pPr>
              <w:spacing w:after="0"/>
              <w:rPr>
                <w:sz w:val="12"/>
                <w:szCs w:val="12"/>
                <w:color w:val="auto"/>
              </w:rPr>
            </w:pPr>
          </w:p>
        </w:tc>
        <w:tc>
          <w:tcPr>
            <w:tcW w:w="90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00" w:type="dxa"/>
            <w:vAlign w:val="bottom"/>
          </w:tcPr>
          <w:p>
            <w:pPr>
              <w:spacing w:after="0"/>
              <w:rPr>
                <w:sz w:val="12"/>
                <w:szCs w:val="12"/>
                <w:color w:val="auto"/>
              </w:rPr>
            </w:pPr>
          </w:p>
        </w:tc>
        <w:tc>
          <w:tcPr>
            <w:tcW w:w="90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2"/>
                <w:szCs w:val="12"/>
                <w:color w:val="auto"/>
              </w:rPr>
            </w:pPr>
          </w:p>
        </w:tc>
        <w:tc>
          <w:tcPr>
            <w:tcW w:w="90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90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00" w:type="dxa"/>
            <w:vAlign w:val="bottom"/>
          </w:tcPr>
          <w:p>
            <w:pPr>
              <w:spacing w:after="0"/>
              <w:rPr>
                <w:sz w:val="12"/>
                <w:szCs w:val="12"/>
                <w:color w:val="auto"/>
              </w:rPr>
            </w:pPr>
          </w:p>
        </w:tc>
        <w:tc>
          <w:tcPr>
            <w:tcW w:w="100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0" w:type="dxa"/>
            <w:vAlign w:val="bottom"/>
          </w:tcPr>
          <w:p>
            <w:pPr>
              <w:spacing w:after="0"/>
              <w:rPr>
                <w:sz w:val="1"/>
                <w:szCs w:val="1"/>
                <w:color w:val="auto"/>
              </w:rPr>
            </w:pPr>
          </w:p>
        </w:tc>
      </w:tr>
      <w:tr>
        <w:trPr>
          <w:trHeight w:val="209"/>
        </w:trPr>
        <w:tc>
          <w:tcPr>
            <w:tcW w:w="10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0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$196,312</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$205,852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$194,367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$802,486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$194,615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$206,606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$206,659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$202,546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$810,426</w:t>
            </w:r>
          </w:p>
        </w:tc>
        <w:tc>
          <w:tcPr>
            <w:tcW w:w="0" w:type="dxa"/>
            <w:vAlign w:val="bottom"/>
          </w:tcPr>
          <w:p>
            <w:pPr>
              <w:spacing w:after="0"/>
              <w:rPr>
                <w:sz w:val="1"/>
                <w:szCs w:val="1"/>
                <w:color w:val="auto"/>
              </w:rPr>
            </w:pPr>
          </w:p>
        </w:tc>
      </w:tr>
      <w:tr>
        <w:trPr>
          <w:trHeight w:val="216"/>
        </w:trPr>
        <w:tc>
          <w:tcPr>
            <w:tcW w:w="10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EMEA</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46,620</w:t>
            </w: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46,918</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48,082</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48,903</w:t>
            </w:r>
          </w:p>
        </w:tc>
        <w:tc>
          <w:tcPr>
            <w:tcW w:w="11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190,523</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55,542</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52,301</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53,975</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53,978</w:t>
            </w:r>
          </w:p>
        </w:tc>
        <w:tc>
          <w:tcPr>
            <w:tcW w:w="11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215,796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APAC</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12,747</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12,531</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49,343</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12,630</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13,865</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55,170</w:t>
            </w:r>
          </w:p>
        </w:tc>
        <w:tc>
          <w:tcPr>
            <w:tcW w:w="0" w:type="dxa"/>
            <w:vAlign w:val="bottom"/>
          </w:tcPr>
          <w:p>
            <w:pPr>
              <w:spacing w:after="0"/>
              <w:rPr>
                <w:sz w:val="1"/>
                <w:szCs w:val="1"/>
                <w:color w:val="auto"/>
              </w:rPr>
            </w:pPr>
          </w:p>
        </w:tc>
      </w:tr>
      <w:tr>
        <w:trPr>
          <w:trHeight w:val="249"/>
        </w:trPr>
        <w:tc>
          <w:tcPr>
            <w:tcW w:w="10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$254,552</w:t>
            </w:r>
          </w:p>
        </w:tc>
        <w:tc>
          <w:tcPr>
            <w:tcW w:w="12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$265,318</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spacing w:after="0"/>
              <w:rPr>
                <w:sz w:val="21"/>
                <w:szCs w:val="21"/>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$266,681</w:t>
            </w:r>
          </w:p>
        </w:tc>
        <w:tc>
          <w:tcPr>
            <w:tcW w:w="1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$255,801</w:t>
            </w:r>
          </w:p>
        </w:tc>
        <w:tc>
          <w:tcPr>
            <w:tcW w:w="12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$1,042,352</w:t>
            </w:r>
          </w:p>
        </w:tc>
        <w:tc>
          <w:tcPr>
            <w:tcW w:w="1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$262,787</w:t>
            </w:r>
          </w:p>
        </w:tc>
        <w:tc>
          <w:tcPr>
            <w:tcW w:w="1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$272,421</w:t>
            </w:r>
          </w:p>
        </w:tc>
        <w:tc>
          <w:tcPr>
            <w:tcW w:w="1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$275,795</w:t>
            </w:r>
          </w:p>
        </w:tc>
        <w:tc>
          <w:tcPr>
            <w:tcW w:w="1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$270,389</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$1,081,392</w:t>
            </w:r>
          </w:p>
        </w:tc>
        <w:tc>
          <w:tcPr>
            <w:tcW w:w="0" w:type="dxa"/>
            <w:vAlign w:val="bottom"/>
          </w:tcPr>
          <w:p>
            <w:pPr>
              <w:spacing w:after="0"/>
              <w:rPr>
                <w:sz w:val="1"/>
                <w:szCs w:val="1"/>
                <w:color w:val="auto"/>
              </w:rPr>
            </w:pPr>
          </w:p>
        </w:tc>
      </w:tr>
      <w:tr>
        <w:trPr>
          <w:trHeight w:val="197"/>
        </w:trPr>
        <w:tc>
          <w:tcPr>
            <w:tcW w:w="19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gridSpan w:val="3"/>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w w:val="99"/>
              </w:rPr>
              <w:t>GAAP Operating Income:</w:t>
            </w: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$36,687</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$36,323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$167,343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$33,862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$48,051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$45,783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$39,875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$167,571</w:t>
            </w:r>
          </w:p>
        </w:tc>
        <w:tc>
          <w:tcPr>
            <w:tcW w:w="0" w:type="dxa"/>
            <w:vAlign w:val="bottom"/>
          </w:tcPr>
          <w:p>
            <w:pPr>
              <w:spacing w:after="0"/>
              <w:rPr>
                <w:sz w:val="1"/>
                <w:szCs w:val="1"/>
                <w:color w:val="auto"/>
              </w:rPr>
            </w:pPr>
          </w:p>
        </w:tc>
      </w:tr>
      <w:tr>
        <w:trPr>
          <w:trHeight w:val="216"/>
        </w:trPr>
        <w:tc>
          <w:tcPr>
            <w:tcW w:w="10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EMEA</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15,884</w:t>
            </w: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17,195</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20,521</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18,896</w:t>
            </w:r>
          </w:p>
        </w:tc>
        <w:tc>
          <w:tcPr>
            <w:tcW w:w="11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72,496</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23,703</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19,807</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22,877</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21,686</w:t>
            </w:r>
          </w:p>
        </w:tc>
        <w:tc>
          <w:tcPr>
            <w:tcW w:w="11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88,073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APAC</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21,757</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24,156</w:t>
            </w:r>
          </w:p>
        </w:tc>
        <w:tc>
          <w:tcPr>
            <w:tcW w:w="0" w:type="dxa"/>
            <w:vAlign w:val="bottom"/>
          </w:tcPr>
          <w:p>
            <w:pPr>
              <w:spacing w:after="0"/>
              <w:rPr>
                <w:sz w:val="1"/>
                <w:szCs w:val="1"/>
                <w:color w:val="auto"/>
              </w:rPr>
            </w:pPr>
          </w:p>
        </w:tc>
      </w:tr>
      <w:tr>
        <w:trPr>
          <w:trHeight w:val="249"/>
        </w:trPr>
        <w:tc>
          <w:tcPr>
            <w:tcW w:w="10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$57,630</w:t>
            </w:r>
          </w:p>
        </w:tc>
        <w:tc>
          <w:tcPr>
            <w:tcW w:w="12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$68,188</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spacing w:after="0"/>
              <w:rPr>
                <w:sz w:val="21"/>
                <w:szCs w:val="21"/>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$75,090</w:t>
            </w:r>
          </w:p>
        </w:tc>
        <w:tc>
          <w:tcPr>
            <w:tcW w:w="1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$60,688</w:t>
            </w:r>
          </w:p>
        </w:tc>
        <w:tc>
          <w:tcPr>
            <w:tcW w:w="12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$261,596</w:t>
            </w:r>
          </w:p>
        </w:tc>
        <w:tc>
          <w:tcPr>
            <w:tcW w:w="1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$63,172</w:t>
            </w:r>
          </w:p>
        </w:tc>
        <w:tc>
          <w:tcPr>
            <w:tcW w:w="1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$73,788</w:t>
            </w:r>
          </w:p>
        </w:tc>
        <w:tc>
          <w:tcPr>
            <w:tcW w:w="1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$75,828</w:t>
            </w:r>
          </w:p>
        </w:tc>
        <w:tc>
          <w:tcPr>
            <w:tcW w:w="1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$67,012</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$279,800</w:t>
            </w:r>
          </w:p>
        </w:tc>
        <w:tc>
          <w:tcPr>
            <w:tcW w:w="0" w:type="dxa"/>
            <w:vAlign w:val="bottom"/>
          </w:tcPr>
          <w:p>
            <w:pPr>
              <w:spacing w:after="0"/>
              <w:rPr>
                <w:sz w:val="1"/>
                <w:szCs w:val="1"/>
                <w:color w:val="auto"/>
              </w:rPr>
            </w:pPr>
          </w:p>
        </w:tc>
      </w:tr>
      <w:tr>
        <w:trPr>
          <w:trHeight w:val="197"/>
        </w:trPr>
        <w:tc>
          <w:tcPr>
            <w:tcW w:w="19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gridSpan w:val="3"/>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Adjustments (pre-tax):</w:t>
            </w: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2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Equity-based</w:t>
            </w: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w w:val="99"/>
              </w:rPr>
              <w:t>compensation</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$22,095</w:t>
            </w:r>
          </w:p>
        </w:tc>
        <w:tc>
          <w:tcPr>
            <w:tcW w:w="12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$23,853</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$22,592</w:t>
            </w:r>
          </w:p>
        </w:tc>
        <w:tc>
          <w:tcPr>
            <w:tcW w:w="11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$93,206</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$28,826</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$24,275</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$27,577</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$30,585</w:t>
            </w:r>
          </w:p>
        </w:tc>
        <w:tc>
          <w:tcPr>
            <w:tcW w:w="11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$111,263</w:t>
            </w:r>
          </w:p>
        </w:tc>
        <w:tc>
          <w:tcPr>
            <w:tcW w:w="0" w:type="dxa"/>
            <w:vAlign w:val="bottom"/>
          </w:tcPr>
          <w:p>
            <w:pPr>
              <w:spacing w:after="0"/>
              <w:rPr>
                <w:sz w:val="1"/>
                <w:szCs w:val="1"/>
                <w:color w:val="auto"/>
              </w:rPr>
            </w:pPr>
          </w:p>
        </w:tc>
      </w:tr>
      <w:tr>
        <w:trPr>
          <w:trHeight w:val="198"/>
        </w:trPr>
        <w:tc>
          <w:tcPr>
            <w:tcW w:w="1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Unusual</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health</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claim</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0" w:type="dxa"/>
            <w:vAlign w:val="bottom"/>
          </w:tcPr>
          <w:p>
            <w:pPr>
              <w:spacing w:after="0"/>
              <w:rPr>
                <w:sz w:val="1"/>
                <w:szCs w:val="1"/>
                <w:color w:val="auto"/>
              </w:rPr>
            </w:pPr>
          </w:p>
        </w:tc>
      </w:tr>
      <w:tr>
        <w:trPr>
          <w:trHeight w:val="198"/>
        </w:trPr>
        <w:tc>
          <w:tcPr>
            <w:tcW w:w="102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Restructuring</w:t>
            </w: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17"/>
                <w:szCs w:val="17"/>
                <w:color w:val="auto"/>
              </w:rPr>
            </w:pPr>
          </w:p>
        </w:tc>
        <w:tc>
          <w:tcPr>
            <w:tcW w:w="92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FFCC"/>
          </w:tcPr>
          <w:p>
            <w:pPr>
              <w:spacing w:after="0"/>
              <w:rPr>
                <w:sz w:val="17"/>
                <w:szCs w:val="17"/>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FFCC"/>
          </w:tcPr>
          <w:p>
            <w:pPr>
              <w:spacing w:after="0"/>
              <w:rPr>
                <w:sz w:val="17"/>
                <w:szCs w:val="17"/>
                <w:color w:val="auto"/>
              </w:rPr>
            </w:pPr>
          </w:p>
        </w:tc>
        <w:tc>
          <w:tcPr>
            <w:tcW w:w="102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FFCC"/>
          </w:tcPr>
          <w:p>
            <w:pPr>
              <w:spacing w:after="0"/>
              <w:rPr>
                <w:sz w:val="17"/>
                <w:szCs w:val="17"/>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vMerge w:val="restart"/>
            <w:shd w:val="clear" w:color="auto" w:fill="CCFFCC"/>
          </w:tcPr>
          <w:p>
            <w:pPr>
              <w:spacing w:after="0"/>
              <w:rPr>
                <w:sz w:val="17"/>
                <w:szCs w:val="17"/>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vMerge w:val="restart"/>
            <w:shd w:val="clear" w:color="auto" w:fill="CCFFCC"/>
          </w:tcPr>
          <w:p>
            <w:pPr>
              <w:spacing w:after="0"/>
              <w:rPr>
                <w:sz w:val="17"/>
                <w:szCs w:val="17"/>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FFCC"/>
          </w:tcPr>
          <w:p>
            <w:pPr>
              <w:spacing w:after="0"/>
              <w:rPr>
                <w:sz w:val="17"/>
                <w:szCs w:val="17"/>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FFCC"/>
          </w:tcPr>
          <w:p>
            <w:pPr>
              <w:spacing w:after="0"/>
              <w:rPr>
                <w:sz w:val="17"/>
                <w:szCs w:val="17"/>
                <w:color w:val="auto"/>
              </w:rPr>
            </w:pPr>
          </w:p>
        </w:tc>
        <w:tc>
          <w:tcPr>
            <w:tcW w:w="10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0" w:type="dxa"/>
            <w:vAlign w:val="bottom"/>
          </w:tcPr>
          <w:p>
            <w:pPr>
              <w:spacing w:after="0"/>
              <w:rPr>
                <w:sz w:val="1"/>
                <w:szCs w:val="1"/>
                <w:color w:val="auto"/>
              </w:rPr>
            </w:pPr>
          </w:p>
        </w:tc>
      </w:tr>
      <w:tr>
        <w:trPr>
          <w:trHeight w:val="221"/>
        </w:trPr>
        <w:tc>
          <w:tcPr>
            <w:tcW w:w="10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expense</w:t>
            </w:r>
          </w:p>
        </w:tc>
        <w:tc>
          <w:tcPr>
            <w:tcW w:w="900" w:type="dxa"/>
            <w:vAlign w:val="bottom"/>
            <w:tcBorders>
              <w:bottom w:val="single" w:sz="8" w:color="auto"/>
            </w:tcBorders>
            <w:vMerge w:val="continue"/>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920" w:type="dxa"/>
            <w:vAlign w:val="bottom"/>
            <w:tcBorders>
              <w:bottom w:val="single" w:sz="8" w:color="auto"/>
            </w:tcBorders>
            <w:vMerge w:val="continue"/>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780" w:type="dxa"/>
            <w:vAlign w:val="bottom"/>
            <w:tcBorders>
              <w:bottom w:val="single" w:sz="8" w:color="auto"/>
            </w:tcBorders>
            <w:vMerge w:val="continue"/>
            <w:shd w:val="clear" w:color="auto" w:fill="CCFFCC"/>
          </w:tcPr>
          <w:p>
            <w:pPr>
              <w:spacing w:after="0"/>
              <w:rPr>
                <w:sz w:val="19"/>
                <w:szCs w:val="19"/>
                <w:color w:val="auto"/>
              </w:rPr>
            </w:pPr>
          </w:p>
        </w:tc>
        <w:tc>
          <w:tcPr>
            <w:tcW w:w="120" w:type="dxa"/>
            <w:vAlign w:val="bottom"/>
            <w:tcBorders>
              <w:bottom w:val="single" w:sz="8" w:color="CCFFCC"/>
            </w:tcBorders>
            <w:vMerge w:val="continue"/>
            <w:shd w:val="clear" w:color="auto" w:fill="CCFFCC"/>
          </w:tcPr>
          <w:p>
            <w:pPr>
              <w:spacing w:after="0"/>
              <w:rPr>
                <w:sz w:val="19"/>
                <w:szCs w:val="19"/>
                <w:color w:val="auto"/>
              </w:rPr>
            </w:pPr>
          </w:p>
        </w:tc>
        <w:tc>
          <w:tcPr>
            <w:tcW w:w="900" w:type="dxa"/>
            <w:vAlign w:val="bottom"/>
            <w:tcBorders>
              <w:bottom w:val="single" w:sz="8" w:color="auto"/>
            </w:tcBorders>
            <w:vMerge w:val="continue"/>
            <w:shd w:val="clear" w:color="auto" w:fill="CCFFCC"/>
          </w:tcPr>
          <w:p>
            <w:pPr>
              <w:spacing w:after="0"/>
              <w:rPr>
                <w:sz w:val="19"/>
                <w:szCs w:val="19"/>
                <w:color w:val="auto"/>
              </w:rPr>
            </w:pPr>
          </w:p>
        </w:tc>
        <w:tc>
          <w:tcPr>
            <w:tcW w:w="120" w:type="dxa"/>
            <w:vAlign w:val="bottom"/>
            <w:tcBorders>
              <w:bottom w:val="single" w:sz="8" w:color="CCFFCC"/>
            </w:tcBorders>
            <w:vMerge w:val="continue"/>
            <w:shd w:val="clear" w:color="auto" w:fill="CCFFCC"/>
          </w:tcPr>
          <w:p>
            <w:pPr>
              <w:spacing w:after="0"/>
              <w:rPr>
                <w:sz w:val="19"/>
                <w:szCs w:val="19"/>
                <w:color w:val="auto"/>
              </w:rPr>
            </w:pPr>
          </w:p>
        </w:tc>
        <w:tc>
          <w:tcPr>
            <w:tcW w:w="1020" w:type="dxa"/>
            <w:vAlign w:val="bottom"/>
            <w:tcBorders>
              <w:bottom w:val="single" w:sz="8" w:color="auto"/>
            </w:tcBorders>
            <w:vMerge w:val="continue"/>
            <w:shd w:val="clear" w:color="auto" w:fill="CCFFCC"/>
          </w:tcPr>
          <w:p>
            <w:pPr>
              <w:spacing w:after="0"/>
              <w:rPr>
                <w:sz w:val="19"/>
                <w:szCs w:val="19"/>
                <w:color w:val="auto"/>
              </w:rPr>
            </w:pPr>
          </w:p>
        </w:tc>
        <w:tc>
          <w:tcPr>
            <w:tcW w:w="100" w:type="dxa"/>
            <w:vAlign w:val="bottom"/>
            <w:tcBorders>
              <w:bottom w:val="single" w:sz="8" w:color="CCFFCC"/>
            </w:tcBorders>
            <w:vMerge w:val="continue"/>
            <w:shd w:val="clear" w:color="auto" w:fill="CCFFCC"/>
          </w:tcPr>
          <w:p>
            <w:pPr>
              <w:spacing w:after="0"/>
              <w:rPr>
                <w:sz w:val="19"/>
                <w:szCs w:val="19"/>
                <w:color w:val="auto"/>
              </w:rPr>
            </w:pPr>
          </w:p>
        </w:tc>
        <w:tc>
          <w:tcPr>
            <w:tcW w:w="900" w:type="dxa"/>
            <w:vAlign w:val="bottom"/>
            <w:tcBorders>
              <w:bottom w:val="single" w:sz="8" w:color="auto"/>
            </w:tcBorders>
            <w:vMerge w:val="continue"/>
            <w:shd w:val="clear" w:color="auto" w:fill="CCFFCC"/>
          </w:tcPr>
          <w:p>
            <w:pPr>
              <w:spacing w:after="0"/>
              <w:rPr>
                <w:sz w:val="19"/>
                <w:szCs w:val="19"/>
                <w:color w:val="auto"/>
              </w:rPr>
            </w:pPr>
          </w:p>
        </w:tc>
        <w:tc>
          <w:tcPr>
            <w:tcW w:w="100" w:type="dxa"/>
            <w:vAlign w:val="bottom"/>
            <w:tcBorders>
              <w:bottom w:val="single" w:sz="8" w:color="CCFFCC"/>
            </w:tcBorders>
            <w:vMerge w:val="continue"/>
            <w:shd w:val="clear" w:color="auto" w:fill="CCFFCC"/>
          </w:tcPr>
          <w:p>
            <w:pPr>
              <w:spacing w:after="0"/>
              <w:rPr>
                <w:sz w:val="19"/>
                <w:szCs w:val="19"/>
                <w:color w:val="auto"/>
              </w:rPr>
            </w:pPr>
          </w:p>
        </w:tc>
        <w:tc>
          <w:tcPr>
            <w:tcW w:w="900" w:type="dxa"/>
            <w:vAlign w:val="bottom"/>
            <w:tcBorders>
              <w:bottom w:val="single" w:sz="8" w:color="auto"/>
            </w:tcBorders>
            <w:vMerge w:val="continue"/>
            <w:shd w:val="clear" w:color="auto" w:fill="CCFFCC"/>
          </w:tcPr>
          <w:p>
            <w:pPr>
              <w:spacing w:after="0"/>
              <w:rPr>
                <w:sz w:val="19"/>
                <w:szCs w:val="19"/>
                <w:color w:val="auto"/>
              </w:rPr>
            </w:pPr>
          </w:p>
        </w:tc>
        <w:tc>
          <w:tcPr>
            <w:tcW w:w="100" w:type="dxa"/>
            <w:vAlign w:val="bottom"/>
            <w:tcBorders>
              <w:bottom w:val="single" w:sz="8" w:color="CCFFCC"/>
            </w:tcBorders>
            <w:vMerge w:val="continue"/>
            <w:shd w:val="clear" w:color="auto" w:fill="CCFFCC"/>
          </w:tcPr>
          <w:p>
            <w:pPr>
              <w:spacing w:after="0"/>
              <w:rPr>
                <w:sz w:val="19"/>
                <w:szCs w:val="19"/>
                <w:color w:val="auto"/>
              </w:rPr>
            </w:pPr>
          </w:p>
        </w:tc>
        <w:tc>
          <w:tcPr>
            <w:tcW w:w="900" w:type="dxa"/>
            <w:vAlign w:val="bottom"/>
            <w:tcBorders>
              <w:bottom w:val="single" w:sz="8" w:color="auto"/>
            </w:tcBorders>
            <w:vMerge w:val="continue"/>
            <w:shd w:val="clear" w:color="auto" w:fill="CCFFCC"/>
          </w:tcPr>
          <w:p>
            <w:pPr>
              <w:spacing w:after="0"/>
              <w:rPr>
                <w:sz w:val="19"/>
                <w:szCs w:val="19"/>
                <w:color w:val="auto"/>
              </w:rPr>
            </w:pPr>
          </w:p>
        </w:tc>
        <w:tc>
          <w:tcPr>
            <w:tcW w:w="100" w:type="dxa"/>
            <w:vAlign w:val="bottom"/>
            <w:tcBorders>
              <w:bottom w:val="single" w:sz="8" w:color="CCFFCC"/>
            </w:tcBorders>
            <w:vMerge w:val="continue"/>
            <w:shd w:val="clear" w:color="auto" w:fill="CCFFCC"/>
          </w:tcPr>
          <w:p>
            <w:pPr>
              <w:spacing w:after="0"/>
              <w:rPr>
                <w:sz w:val="19"/>
                <w:szCs w:val="19"/>
                <w:color w:val="auto"/>
              </w:rPr>
            </w:pPr>
          </w:p>
        </w:tc>
        <w:tc>
          <w:tcPr>
            <w:tcW w:w="900" w:type="dxa"/>
            <w:vAlign w:val="bottom"/>
            <w:tcBorders>
              <w:bottom w:val="single" w:sz="8" w:color="auto"/>
            </w:tcBorders>
            <w:vMerge w:val="continue"/>
            <w:shd w:val="clear" w:color="auto" w:fill="CCFFCC"/>
          </w:tcPr>
          <w:p>
            <w:pPr>
              <w:spacing w:after="0"/>
              <w:rPr>
                <w:sz w:val="19"/>
                <w:szCs w:val="19"/>
                <w:color w:val="auto"/>
              </w:rPr>
            </w:pPr>
          </w:p>
        </w:tc>
        <w:tc>
          <w:tcPr>
            <w:tcW w:w="100" w:type="dxa"/>
            <w:vAlign w:val="bottom"/>
            <w:tcBorders>
              <w:bottom w:val="single" w:sz="8" w:color="CCFFCC"/>
            </w:tcBorders>
            <w:vMerge w:val="continue"/>
            <w:shd w:val="clear" w:color="auto" w:fill="CCFFCC"/>
          </w:tcPr>
          <w:p>
            <w:pPr>
              <w:spacing w:after="0"/>
              <w:rPr>
                <w:sz w:val="19"/>
                <w:szCs w:val="19"/>
                <w:color w:val="auto"/>
              </w:rPr>
            </w:pPr>
          </w:p>
        </w:tc>
        <w:tc>
          <w:tcPr>
            <w:tcW w:w="1000" w:type="dxa"/>
            <w:vAlign w:val="bottom"/>
            <w:tcBorders>
              <w:bottom w:val="single" w:sz="8" w:color="auto"/>
            </w:tcBorders>
            <w:vMerge w:val="continue"/>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$22,095</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$23,853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$29,594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$100,208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$28,097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$27,283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$27,577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$24,361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$107,318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6"/>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Adjusted non-GAAP Operating Income:</w:t>
            </w:r>
          </w:p>
        </w:tc>
        <w:tc>
          <w:tcPr>
            <w:tcW w:w="7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$58,782</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$65,917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$267,551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$61,959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$75,334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$73,360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$64,236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$274,889</w:t>
            </w:r>
          </w:p>
        </w:tc>
        <w:tc>
          <w:tcPr>
            <w:tcW w:w="0" w:type="dxa"/>
            <w:vAlign w:val="bottom"/>
          </w:tcPr>
          <w:p>
            <w:pPr>
              <w:spacing w:after="0"/>
              <w:rPr>
                <w:sz w:val="1"/>
                <w:szCs w:val="1"/>
                <w:color w:val="auto"/>
              </w:rPr>
            </w:pPr>
          </w:p>
        </w:tc>
      </w:tr>
      <w:tr>
        <w:trPr>
          <w:trHeight w:val="216"/>
        </w:trPr>
        <w:tc>
          <w:tcPr>
            <w:tcW w:w="10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EMEA</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15,884</w:t>
            </w: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17,195</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20,521</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18,896</w:t>
            </w:r>
          </w:p>
        </w:tc>
        <w:tc>
          <w:tcPr>
            <w:tcW w:w="11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72,496</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23,703</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19,807</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22,877</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21,686</w:t>
            </w:r>
          </w:p>
        </w:tc>
        <w:tc>
          <w:tcPr>
            <w:tcW w:w="11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88,073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APAC</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21,757</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24,156</w:t>
            </w:r>
          </w:p>
        </w:tc>
        <w:tc>
          <w:tcPr>
            <w:tcW w:w="0" w:type="dxa"/>
            <w:vAlign w:val="bottom"/>
          </w:tcPr>
          <w:p>
            <w:pPr>
              <w:spacing w:after="0"/>
              <w:rPr>
                <w:sz w:val="1"/>
                <w:szCs w:val="1"/>
                <w:color w:val="auto"/>
              </w:rPr>
            </w:pPr>
          </w:p>
        </w:tc>
      </w:tr>
      <w:tr>
        <w:trPr>
          <w:trHeight w:val="250"/>
        </w:trPr>
        <w:tc>
          <w:tcPr>
            <w:tcW w:w="102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$79,725</w:t>
            </w:r>
          </w:p>
        </w:tc>
        <w:tc>
          <w:tcPr>
            <w:tcW w:w="12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$92,854</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$98,943</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$90,282</w:t>
            </w:r>
          </w:p>
        </w:tc>
        <w:tc>
          <w:tcPr>
            <w:tcW w:w="11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$361,804</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$91,269</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$101,071</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$103,405</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$91,373</w:t>
            </w:r>
          </w:p>
        </w:tc>
        <w:tc>
          <w:tcPr>
            <w:tcW w:w="11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$387,118</w:t>
            </w:r>
          </w:p>
        </w:tc>
        <w:tc>
          <w:tcPr>
            <w:tcW w:w="0" w:type="dxa"/>
            <w:vAlign w:val="bottom"/>
          </w:tcPr>
          <w:p>
            <w:pPr>
              <w:spacing w:after="0"/>
              <w:rPr>
                <w:sz w:val="1"/>
                <w:szCs w:val="1"/>
                <w:color w:val="auto"/>
              </w:rPr>
            </w:pPr>
          </w:p>
        </w:tc>
      </w:tr>
      <w:tr>
        <w:trPr>
          <w:trHeight w:val="1985"/>
        </w:trPr>
        <w:tc>
          <w:tcPr>
            <w:tcW w:w="1020" w:type="dxa"/>
            <w:vAlign w:val="bottom"/>
            <w:tcBorders>
              <w:top w:val="single" w:sz="8" w:color="CCFFCC"/>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FFCC"/>
              <w:bottom w:val="single" w:sz="8" w:color="9A9A9A"/>
            </w:tcBorders>
          </w:tcPr>
          <w:p>
            <w:pPr>
              <w:spacing w:after="0"/>
              <w:rPr>
                <w:sz w:val="24"/>
                <w:szCs w:val="24"/>
                <w:color w:val="auto"/>
              </w:rPr>
            </w:pPr>
          </w:p>
        </w:tc>
        <w:tc>
          <w:tcPr>
            <w:tcW w:w="9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FFCC"/>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78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FFCC"/>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FFCC"/>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-4697095</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-4679950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-4697095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-4679950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-4697095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-4679950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-4697095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-4679950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-4697095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-4679950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-4697095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-4679950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-4697095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-4679950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-4697095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-4679950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-4697095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-4679950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-3839845</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-3822700</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-3839845</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-3822700</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-3839845</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-3822700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-3839845</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-3822700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-3839845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-3822700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-3839845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-3822700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-3839845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-3822700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-3839845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-3822700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-3839845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-3822700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-2313940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-2313940</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-2313940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-2313940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-2313940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-2313940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-2313940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-2313940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-2313940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-1310640</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-1293495</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-1310640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-1293495</wp:posOffset>
            </wp:positionV>
            <wp:extent cx="768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-1310640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-1293495</wp:posOffset>
            </wp:positionV>
            <wp:extent cx="768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-1310640</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-1293495</wp:posOffset>
            </wp:positionV>
            <wp:extent cx="774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-1310640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-1293495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-1310640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-1293495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-1310640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-1293495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-1310640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-1293495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-1310640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-1293495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 w:name="page17"/>
    <w:bookmarkEnd w:id="16"/>
    <w:p>
      <w:pPr>
        <w:ind w:left="360" w:hanging="352"/>
        <w:spacing w:after="0"/>
        <w:tabs>
          <w:tab w:leader="none" w:pos="3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Impact of Currency Fluctuation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increases (decreases) in the results of operations for each period attributable to the change in foreign currency exchange rates from the prior period as well as foreign currency gains (losses) included in other income, net for each period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84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20" w:type="dxa"/>
            <w:vAlign w:val="bottom"/>
          </w:tcPr>
          <w:p>
            <w:pPr>
              <w:spacing w:after="0"/>
              <w:rPr>
                <w:sz w:val="12"/>
                <w:szCs w:val="12"/>
                <w:color w:val="auto"/>
              </w:rPr>
            </w:pPr>
          </w:p>
        </w:tc>
        <w:tc>
          <w:tcPr>
            <w:tcW w:w="82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2"/>
                <w:szCs w:val="12"/>
                <w:color w:val="auto"/>
              </w:rPr>
            </w:pPr>
          </w:p>
        </w:tc>
        <w:tc>
          <w:tcPr>
            <w:tcW w:w="82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20" w:type="dxa"/>
            <w:vAlign w:val="bottom"/>
          </w:tcPr>
          <w:p>
            <w:pPr>
              <w:spacing w:after="0"/>
              <w:rPr>
                <w:sz w:val="12"/>
                <w:szCs w:val="12"/>
                <w:color w:val="auto"/>
              </w:rPr>
            </w:pPr>
          </w:p>
        </w:tc>
        <w:tc>
          <w:tcPr>
            <w:tcW w:w="84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00" w:type="dxa"/>
            <w:vAlign w:val="bottom"/>
          </w:tcPr>
          <w:p>
            <w:pPr>
              <w:spacing w:after="0"/>
              <w:rPr>
                <w:sz w:val="12"/>
                <w:szCs w:val="12"/>
                <w:color w:val="auto"/>
              </w:rPr>
            </w:pPr>
          </w:p>
        </w:tc>
        <w:tc>
          <w:tcPr>
            <w:tcW w:w="94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0" w:type="dxa"/>
            <w:vAlign w:val="bottom"/>
          </w:tcPr>
          <w:p>
            <w:pPr>
              <w:spacing w:after="0"/>
              <w:rPr>
                <w:sz w:val="1"/>
                <w:szCs w:val="1"/>
                <w:color w:val="auto"/>
              </w:rPr>
            </w:pPr>
          </w:p>
        </w:tc>
      </w:tr>
      <w:tr>
        <w:trPr>
          <w:trHeight w:val="209"/>
        </w:trPr>
        <w:tc>
          <w:tcPr>
            <w:tcW w:w="1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9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09"/>
        </w:trPr>
        <w:tc>
          <w:tcPr>
            <w:tcW w:w="1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9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0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0" w:type="dxa"/>
            <w:vAlign w:val="bottom"/>
          </w:tcPr>
          <w:p>
            <w:pPr>
              <w:spacing w:after="0"/>
              <w:rPr>
                <w:sz w:val="1"/>
                <w:szCs w:val="1"/>
                <w:color w:val="auto"/>
              </w:rPr>
            </w:pPr>
          </w:p>
        </w:tc>
      </w:tr>
      <w:tr>
        <w:trPr>
          <w:trHeight w:val="198"/>
        </w:trPr>
        <w:tc>
          <w:tcPr>
            <w:tcW w:w="1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gains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(losses) in other</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vMerge w:val="restart"/>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vMerge w:val="restart"/>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vMerge w:val="restart"/>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vMerge w:val="restart"/>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vMerge w:val="restart"/>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vMerge w:val="restart"/>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vMerge w:val="restart"/>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vMerge w:val="restart"/>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vMerge w:val="restart"/>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r>
        <w:trPr>
          <w:trHeight w:val="22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income</w:t>
            </w:r>
          </w:p>
        </w:tc>
        <w:tc>
          <w:tcPr>
            <w:tcW w:w="84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70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$(435)</w:t>
            </w:r>
          </w:p>
        </w:tc>
        <w:tc>
          <w:tcPr>
            <w:tcW w:w="10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$394</w:t>
            </w:r>
          </w:p>
        </w:tc>
        <w:tc>
          <w:tcPr>
            <w:tcW w:w="12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$1,062</w:t>
            </w:r>
          </w:p>
        </w:tc>
        <w:tc>
          <w:tcPr>
            <w:tcW w:w="10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$929</w:t>
            </w:r>
          </w:p>
        </w:tc>
        <w:tc>
          <w:tcPr>
            <w:tcW w:w="10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12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$1,479</w:t>
            </w:r>
          </w:p>
        </w:tc>
        <w:tc>
          <w:tcPr>
            <w:tcW w:w="10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$3,510</w:t>
            </w:r>
          </w:p>
        </w:tc>
        <w:tc>
          <w:tcPr>
            <w:tcW w:w="10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$2,936</w:t>
            </w:r>
          </w:p>
        </w:tc>
        <w:tc>
          <w:tcPr>
            <w:tcW w:w="10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$8,431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Manhattan Associates has a large research and development center in Bangalore, India. The following table reflects the increases (decreases) in the financial results for each period attributable to changes in the Indian Rupee exchange rate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700" w:type="dxa"/>
            <w:vAlign w:val="bottom"/>
          </w:tcPr>
          <w:p>
            <w:pPr>
              <w:spacing w:after="0"/>
              <w:rPr>
                <w:sz w:val="11"/>
                <w:szCs w:val="11"/>
                <w:color w:val="auto"/>
              </w:rPr>
            </w:pPr>
          </w:p>
        </w:tc>
        <w:tc>
          <w:tcPr>
            <w:tcW w:w="840" w:type="dxa"/>
            <w:vAlign w:val="bottom"/>
            <w:tcBorders>
              <w:bottom w:val="single" w:sz="8" w:color="auto"/>
            </w:tcBorders>
          </w:tcPr>
          <w:p>
            <w:pPr>
              <w:jc w:val="right"/>
              <w:ind w:right="115"/>
              <w:spacing w:after="0" w:line="136"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20" w:type="dxa"/>
            <w:vAlign w:val="bottom"/>
          </w:tcPr>
          <w:p>
            <w:pPr>
              <w:spacing w:after="0"/>
              <w:rPr>
                <w:sz w:val="11"/>
                <w:szCs w:val="11"/>
                <w:color w:val="auto"/>
              </w:rPr>
            </w:pPr>
          </w:p>
        </w:tc>
        <w:tc>
          <w:tcPr>
            <w:tcW w:w="820" w:type="dxa"/>
            <w:vAlign w:val="bottom"/>
            <w:tcBorders>
              <w:bottom w:val="single" w:sz="8" w:color="auto"/>
            </w:tcBorders>
          </w:tcPr>
          <w:p>
            <w:pPr>
              <w:jc w:val="right"/>
              <w:ind w:right="99"/>
              <w:spacing w:after="0" w:line="136"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1"/>
                <w:szCs w:val="11"/>
                <w:color w:val="auto"/>
              </w:rPr>
            </w:pPr>
          </w:p>
        </w:tc>
        <w:tc>
          <w:tcPr>
            <w:tcW w:w="820" w:type="dxa"/>
            <w:vAlign w:val="bottom"/>
            <w:tcBorders>
              <w:bottom w:val="single" w:sz="8" w:color="auto"/>
            </w:tcBorders>
          </w:tcPr>
          <w:p>
            <w:pPr>
              <w:jc w:val="right"/>
              <w:ind w:right="99"/>
              <w:spacing w:after="0" w:line="136"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20" w:type="dxa"/>
            <w:vAlign w:val="bottom"/>
          </w:tcPr>
          <w:p>
            <w:pPr>
              <w:spacing w:after="0"/>
              <w:rPr>
                <w:sz w:val="11"/>
                <w:szCs w:val="11"/>
                <w:color w:val="auto"/>
              </w:rPr>
            </w:pPr>
          </w:p>
        </w:tc>
        <w:tc>
          <w:tcPr>
            <w:tcW w:w="940" w:type="dxa"/>
            <w:vAlign w:val="bottom"/>
            <w:tcBorders>
              <w:bottom w:val="single" w:sz="8" w:color="auto"/>
            </w:tcBorders>
          </w:tcPr>
          <w:p>
            <w:pPr>
              <w:jc w:val="right"/>
              <w:ind w:right="159"/>
              <w:spacing w:after="0" w:line="136"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00" w:type="dxa"/>
            <w:vAlign w:val="bottom"/>
          </w:tcPr>
          <w:p>
            <w:pPr>
              <w:spacing w:after="0"/>
              <w:rPr>
                <w:sz w:val="11"/>
                <w:szCs w:val="11"/>
                <w:color w:val="auto"/>
              </w:rPr>
            </w:pPr>
          </w:p>
        </w:tc>
        <w:tc>
          <w:tcPr>
            <w:tcW w:w="860" w:type="dxa"/>
            <w:vAlign w:val="bottom"/>
            <w:tcBorders>
              <w:bottom w:val="single" w:sz="8" w:color="auto"/>
            </w:tcBorders>
          </w:tcPr>
          <w:p>
            <w:pPr>
              <w:jc w:val="right"/>
              <w:ind w:right="59"/>
              <w:spacing w:after="0" w:line="136"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00" w:type="dxa"/>
            <w:vAlign w:val="bottom"/>
          </w:tcPr>
          <w:p>
            <w:pPr>
              <w:spacing w:after="0"/>
              <w:rPr>
                <w:sz w:val="11"/>
                <w:szCs w:val="11"/>
                <w:color w:val="auto"/>
              </w:rPr>
            </w:pPr>
          </w:p>
        </w:tc>
        <w:tc>
          <w:tcPr>
            <w:tcW w:w="840" w:type="dxa"/>
            <w:vAlign w:val="bottom"/>
            <w:tcBorders>
              <w:bottom w:val="single" w:sz="8" w:color="auto"/>
            </w:tcBorders>
          </w:tcPr>
          <w:p>
            <w:pPr>
              <w:jc w:val="right"/>
              <w:ind w:right="119"/>
              <w:spacing w:after="0" w:line="136"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20" w:type="dxa"/>
            <w:vAlign w:val="bottom"/>
          </w:tcPr>
          <w:p>
            <w:pPr>
              <w:spacing w:after="0"/>
              <w:rPr>
                <w:sz w:val="11"/>
                <w:szCs w:val="11"/>
                <w:color w:val="auto"/>
              </w:rPr>
            </w:pPr>
          </w:p>
        </w:tc>
        <w:tc>
          <w:tcPr>
            <w:tcW w:w="840" w:type="dxa"/>
            <w:vAlign w:val="bottom"/>
            <w:tcBorders>
              <w:bottom w:val="single" w:sz="8" w:color="auto"/>
            </w:tcBorders>
          </w:tcPr>
          <w:p>
            <w:pPr>
              <w:jc w:val="right"/>
              <w:ind w:right="99"/>
              <w:spacing w:after="0" w:line="136"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1"/>
                <w:szCs w:val="11"/>
                <w:color w:val="auto"/>
              </w:rPr>
            </w:pPr>
          </w:p>
        </w:tc>
        <w:tc>
          <w:tcPr>
            <w:tcW w:w="840" w:type="dxa"/>
            <w:vAlign w:val="bottom"/>
            <w:tcBorders>
              <w:bottom w:val="single" w:sz="8" w:color="auto"/>
            </w:tcBorders>
          </w:tcPr>
          <w:p>
            <w:pPr>
              <w:jc w:val="right"/>
              <w:ind w:right="119"/>
              <w:spacing w:after="0" w:line="136"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1"/>
                <w:szCs w:val="11"/>
                <w:color w:val="auto"/>
              </w:rPr>
            </w:pPr>
          </w:p>
        </w:tc>
        <w:tc>
          <w:tcPr>
            <w:tcW w:w="840" w:type="dxa"/>
            <w:vAlign w:val="bottom"/>
            <w:tcBorders>
              <w:bottom w:val="single" w:sz="8" w:color="auto"/>
            </w:tcBorders>
          </w:tcPr>
          <w:p>
            <w:pPr>
              <w:jc w:val="right"/>
              <w:ind w:right="119"/>
              <w:spacing w:after="0" w:line="136"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00" w:type="dxa"/>
            <w:vAlign w:val="bottom"/>
          </w:tcPr>
          <w:p>
            <w:pPr>
              <w:spacing w:after="0"/>
              <w:rPr>
                <w:sz w:val="11"/>
                <w:szCs w:val="11"/>
                <w:color w:val="auto"/>
              </w:rPr>
            </w:pPr>
          </w:p>
        </w:tc>
        <w:tc>
          <w:tcPr>
            <w:tcW w:w="940" w:type="dxa"/>
            <w:vAlign w:val="bottom"/>
            <w:tcBorders>
              <w:bottom w:val="single" w:sz="8" w:color="auto"/>
            </w:tcBorders>
          </w:tcPr>
          <w:p>
            <w:pPr>
              <w:jc w:val="right"/>
              <w:ind w:right="99"/>
              <w:spacing w:after="0" w:line="136"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0" w:type="dxa"/>
            <w:vAlign w:val="bottom"/>
          </w:tcPr>
          <w:p>
            <w:pPr>
              <w:spacing w:after="0"/>
              <w:rPr>
                <w:sz w:val="1"/>
                <w:szCs w:val="1"/>
                <w:color w:val="auto"/>
              </w:rPr>
            </w:pPr>
          </w:p>
        </w:tc>
      </w:tr>
      <w:tr>
        <w:trPr>
          <w:trHeight w:val="209"/>
        </w:trPr>
        <w:tc>
          <w:tcPr>
            <w:tcW w:w="1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9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0" w:type="dxa"/>
            <w:vAlign w:val="bottom"/>
          </w:tcPr>
          <w:p>
            <w:pPr>
              <w:spacing w:after="0"/>
              <w:rPr>
                <w:sz w:val="1"/>
                <w:szCs w:val="1"/>
                <w:color w:val="auto"/>
              </w:rPr>
            </w:pPr>
          </w:p>
        </w:tc>
      </w:tr>
      <w:tr>
        <w:trPr>
          <w:trHeight w:val="198"/>
        </w:trPr>
        <w:tc>
          <w:tcPr>
            <w:tcW w:w="1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gains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(losses) in other</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0" w:type="dxa"/>
            <w:vAlign w:val="bottom"/>
          </w:tcPr>
          <w:p>
            <w:pPr>
              <w:spacing w:after="0"/>
              <w:rPr>
                <w:sz w:val="1"/>
                <w:szCs w:val="1"/>
                <w:color w:val="auto"/>
              </w:rPr>
            </w:pPr>
          </w:p>
        </w:tc>
      </w:tr>
      <w:tr>
        <w:trPr>
          <w:trHeight w:val="22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income</w:t>
            </w:r>
          </w:p>
        </w:tc>
        <w:tc>
          <w:tcPr>
            <w:tcW w:w="84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00" w:type="dxa"/>
            <w:vAlign w:val="bottom"/>
            <w:shd w:val="clear" w:color="auto" w:fill="CCFFCC"/>
          </w:tcPr>
          <w:p>
            <w:pPr>
              <w:ind w:left="40"/>
              <w:spacing w:after="0" w:line="191" w:lineRule="exact"/>
              <w:rPr>
                <w:sz w:val="20"/>
                <w:szCs w:val="20"/>
                <w:color w:val="auto"/>
              </w:rPr>
            </w:pPr>
            <w:r>
              <w:rPr>
                <w:rFonts w:ascii="Times New Roman" w:cs="Times New Roman" w:eastAsia="Times New Roman" w:hAnsi="Times New Roman"/>
                <w:sz w:val="18"/>
                <w:szCs w:val="18"/>
                <w:color w:val="auto"/>
              </w:rPr>
              <w:t>Total impact of</w:t>
            </w:r>
          </w:p>
        </w:tc>
        <w:tc>
          <w:tcPr>
            <w:tcW w:w="84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2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2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9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6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40" w:type="dxa"/>
            <w:vAlign w:val="bottom"/>
            <w:tcBorders>
              <w:top w:val="single" w:sz="8" w:color="auto"/>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changes in the Indian</w:t>
            </w:r>
          </w:p>
        </w:tc>
        <w:tc>
          <w:tcPr>
            <w:tcW w:w="8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$349</w:t>
            </w:r>
          </w:p>
        </w:tc>
        <w:tc>
          <w:tcPr>
            <w:tcW w:w="120" w:type="dxa"/>
            <w:vAlign w:val="bottom"/>
            <w:vMerge w:val="restart"/>
            <w:shd w:val="clear" w:color="auto" w:fill="CCFFCC"/>
          </w:tcPr>
          <w:p>
            <w:pPr>
              <w:spacing w:after="0"/>
              <w:rPr>
                <w:sz w:val="18"/>
                <w:szCs w:val="18"/>
                <w:color w:val="auto"/>
              </w:rPr>
            </w:pPr>
          </w:p>
        </w:tc>
        <w:tc>
          <w:tcPr>
            <w:tcW w:w="82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$348</w:t>
            </w:r>
          </w:p>
        </w:tc>
        <w:tc>
          <w:tcPr>
            <w:tcW w:w="100" w:type="dxa"/>
            <w:vAlign w:val="bottom"/>
            <w:vMerge w:val="restart"/>
            <w:shd w:val="clear" w:color="auto" w:fill="CCFFCC"/>
          </w:tcPr>
          <w:p>
            <w:pPr>
              <w:spacing w:after="0"/>
              <w:rPr>
                <w:sz w:val="18"/>
                <w:szCs w:val="18"/>
                <w:color w:val="auto"/>
              </w:rPr>
            </w:pPr>
          </w:p>
        </w:tc>
        <w:tc>
          <w:tcPr>
            <w:tcW w:w="82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$545</w:t>
            </w:r>
          </w:p>
        </w:tc>
        <w:tc>
          <w:tcPr>
            <w:tcW w:w="120" w:type="dxa"/>
            <w:vAlign w:val="bottom"/>
            <w:vMerge w:val="restart"/>
            <w:shd w:val="clear" w:color="auto" w:fill="CCFFCC"/>
          </w:tcPr>
          <w:p>
            <w:pPr>
              <w:spacing w:after="0"/>
              <w:rPr>
                <w:sz w:val="18"/>
                <w:szCs w:val="18"/>
                <w:color w:val="auto"/>
              </w:rPr>
            </w:pPr>
          </w:p>
        </w:tc>
        <w:tc>
          <w:tcPr>
            <w:tcW w:w="9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$1,585</w:t>
            </w:r>
          </w:p>
        </w:tc>
        <w:tc>
          <w:tcPr>
            <w:tcW w:w="100" w:type="dxa"/>
            <w:vAlign w:val="bottom"/>
            <w:vMerge w:val="restart"/>
            <w:shd w:val="clear" w:color="auto" w:fill="CCFFCC"/>
          </w:tcPr>
          <w:p>
            <w:pPr>
              <w:spacing w:after="0"/>
              <w:rPr>
                <w:sz w:val="18"/>
                <w:szCs w:val="18"/>
                <w:color w:val="auto"/>
              </w:rPr>
            </w:pPr>
          </w:p>
        </w:tc>
        <w:tc>
          <w:tcPr>
            <w:tcW w:w="86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$2,827</w:t>
            </w:r>
          </w:p>
        </w:tc>
        <w:tc>
          <w:tcPr>
            <w:tcW w:w="100" w:type="dxa"/>
            <w:vAlign w:val="bottom"/>
            <w:vMerge w:val="restart"/>
            <w:shd w:val="clear" w:color="auto" w:fill="CCFFCC"/>
          </w:tcPr>
          <w:p>
            <w:pPr>
              <w:spacing w:after="0"/>
              <w:rPr>
                <w:sz w:val="18"/>
                <w:szCs w:val="18"/>
                <w:color w:val="auto"/>
              </w:rPr>
            </w:pPr>
          </w:p>
        </w:tc>
        <w:tc>
          <w:tcPr>
            <w:tcW w:w="8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$800</w:t>
            </w:r>
          </w:p>
        </w:tc>
        <w:tc>
          <w:tcPr>
            <w:tcW w:w="120" w:type="dxa"/>
            <w:vAlign w:val="bottom"/>
            <w:vMerge w:val="restart"/>
            <w:shd w:val="clear" w:color="auto" w:fill="CCFFCC"/>
          </w:tcPr>
          <w:p>
            <w:pPr>
              <w:spacing w:after="0"/>
              <w:rPr>
                <w:sz w:val="18"/>
                <w:szCs w:val="18"/>
                <w:color w:val="auto"/>
              </w:rPr>
            </w:pPr>
          </w:p>
        </w:tc>
        <w:tc>
          <w:tcPr>
            <w:tcW w:w="8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$654</w:t>
            </w:r>
          </w:p>
        </w:tc>
        <w:tc>
          <w:tcPr>
            <w:tcW w:w="100" w:type="dxa"/>
            <w:vAlign w:val="bottom"/>
            <w:vMerge w:val="restart"/>
            <w:shd w:val="clear" w:color="auto" w:fill="CCFFCC"/>
          </w:tcPr>
          <w:p>
            <w:pPr>
              <w:spacing w:after="0"/>
              <w:rPr>
                <w:sz w:val="18"/>
                <w:szCs w:val="18"/>
                <w:color w:val="auto"/>
              </w:rPr>
            </w:pPr>
          </w:p>
        </w:tc>
        <w:tc>
          <w:tcPr>
            <w:tcW w:w="8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$2,810</w:t>
            </w:r>
          </w:p>
        </w:tc>
        <w:tc>
          <w:tcPr>
            <w:tcW w:w="100" w:type="dxa"/>
            <w:vAlign w:val="bottom"/>
            <w:vMerge w:val="restart"/>
            <w:shd w:val="clear" w:color="auto" w:fill="CCFFCC"/>
          </w:tcPr>
          <w:p>
            <w:pPr>
              <w:spacing w:after="0"/>
              <w:rPr>
                <w:sz w:val="18"/>
                <w:szCs w:val="18"/>
                <w:color w:val="auto"/>
              </w:rPr>
            </w:pPr>
          </w:p>
        </w:tc>
        <w:tc>
          <w:tcPr>
            <w:tcW w:w="8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$2,151</w:t>
            </w:r>
          </w:p>
        </w:tc>
        <w:tc>
          <w:tcPr>
            <w:tcW w:w="100" w:type="dxa"/>
            <w:vAlign w:val="bottom"/>
            <w:vMerge w:val="restart"/>
            <w:shd w:val="clear" w:color="auto" w:fill="CCFFCC"/>
          </w:tcPr>
          <w:p>
            <w:pPr>
              <w:spacing w:after="0"/>
              <w:rPr>
                <w:sz w:val="18"/>
                <w:szCs w:val="18"/>
                <w:color w:val="auto"/>
              </w:rPr>
            </w:pPr>
          </w:p>
        </w:tc>
        <w:tc>
          <w:tcPr>
            <w:tcW w:w="9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$6,415</w:t>
            </w:r>
          </w:p>
        </w:tc>
        <w:tc>
          <w:tcPr>
            <w:tcW w:w="0" w:type="dxa"/>
            <w:vAlign w:val="bottom"/>
          </w:tcPr>
          <w:p>
            <w:pPr>
              <w:spacing w:after="0"/>
              <w:rPr>
                <w:sz w:val="1"/>
                <w:szCs w:val="1"/>
                <w:color w:val="auto"/>
              </w:rPr>
            </w:pPr>
          </w:p>
        </w:tc>
      </w:tr>
      <w:tr>
        <w:trPr>
          <w:trHeight w:val="234"/>
        </w:trPr>
        <w:tc>
          <w:tcPr>
            <w:tcW w:w="1700" w:type="dxa"/>
            <w:vAlign w:val="bottom"/>
            <w:tcBorders>
              <w:bottom w:val="single" w:sz="8" w:color="CCFFCC"/>
            </w:tcBorders>
            <w:shd w:val="clear" w:color="auto" w:fill="CCFFCC"/>
          </w:tcPr>
          <w:p>
            <w:pPr>
              <w:ind w:left="40"/>
              <w:spacing w:after="0" w:line="194" w:lineRule="exact"/>
              <w:rPr>
                <w:sz w:val="20"/>
                <w:szCs w:val="20"/>
                <w:color w:val="auto"/>
              </w:rPr>
            </w:pPr>
            <w:r>
              <w:rPr>
                <w:rFonts w:ascii="Times New Roman" w:cs="Times New Roman" w:eastAsia="Times New Roman" w:hAnsi="Times New Roman"/>
                <w:sz w:val="18"/>
                <w:szCs w:val="18"/>
                <w:color w:val="auto"/>
              </w:rPr>
              <w:t>Rupee</w:t>
            </w:r>
          </w:p>
        </w:tc>
        <w:tc>
          <w:tcPr>
            <w:tcW w:w="840" w:type="dxa"/>
            <w:vAlign w:val="bottom"/>
            <w:tcBorders>
              <w:bottom w:val="single" w:sz="8" w:color="auto"/>
            </w:tcBorders>
            <w:vMerge w:val="continue"/>
            <w:shd w:val="clear" w:color="auto" w:fill="CCFFCC"/>
          </w:tcPr>
          <w:p>
            <w:pPr>
              <w:spacing w:after="0"/>
              <w:rPr>
                <w:sz w:val="20"/>
                <w:szCs w:val="20"/>
                <w:color w:val="auto"/>
              </w:rPr>
            </w:pPr>
          </w:p>
        </w:tc>
        <w:tc>
          <w:tcPr>
            <w:tcW w:w="120" w:type="dxa"/>
            <w:vAlign w:val="bottom"/>
            <w:tcBorders>
              <w:bottom w:val="single" w:sz="8" w:color="CCFFCC"/>
            </w:tcBorders>
            <w:vMerge w:val="continue"/>
            <w:shd w:val="clear" w:color="auto" w:fill="CCFFCC"/>
          </w:tcPr>
          <w:p>
            <w:pPr>
              <w:spacing w:after="0"/>
              <w:rPr>
                <w:sz w:val="20"/>
                <w:szCs w:val="20"/>
                <w:color w:val="auto"/>
              </w:rPr>
            </w:pPr>
          </w:p>
        </w:tc>
        <w:tc>
          <w:tcPr>
            <w:tcW w:w="82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820" w:type="dxa"/>
            <w:vAlign w:val="bottom"/>
            <w:tcBorders>
              <w:bottom w:val="single" w:sz="8" w:color="auto"/>
            </w:tcBorders>
            <w:vMerge w:val="continue"/>
            <w:shd w:val="clear" w:color="auto" w:fill="CCFFCC"/>
          </w:tcPr>
          <w:p>
            <w:pPr>
              <w:spacing w:after="0"/>
              <w:rPr>
                <w:sz w:val="20"/>
                <w:szCs w:val="20"/>
                <w:color w:val="auto"/>
              </w:rPr>
            </w:pPr>
          </w:p>
        </w:tc>
        <w:tc>
          <w:tcPr>
            <w:tcW w:w="120" w:type="dxa"/>
            <w:vAlign w:val="bottom"/>
            <w:tcBorders>
              <w:bottom w:val="single" w:sz="8" w:color="CCFFCC"/>
            </w:tcBorders>
            <w:vMerge w:val="continue"/>
            <w:shd w:val="clear" w:color="auto" w:fill="CCFFCC"/>
          </w:tcPr>
          <w:p>
            <w:pPr>
              <w:spacing w:after="0"/>
              <w:rPr>
                <w:sz w:val="20"/>
                <w:szCs w:val="20"/>
                <w:color w:val="auto"/>
              </w:rPr>
            </w:pPr>
          </w:p>
        </w:tc>
        <w:tc>
          <w:tcPr>
            <w:tcW w:w="94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86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840" w:type="dxa"/>
            <w:vAlign w:val="bottom"/>
            <w:tcBorders>
              <w:bottom w:val="single" w:sz="8" w:color="auto"/>
            </w:tcBorders>
            <w:vMerge w:val="continue"/>
            <w:shd w:val="clear" w:color="auto" w:fill="CCFFCC"/>
          </w:tcPr>
          <w:p>
            <w:pPr>
              <w:spacing w:after="0"/>
              <w:rPr>
                <w:sz w:val="20"/>
                <w:szCs w:val="20"/>
                <w:color w:val="auto"/>
              </w:rPr>
            </w:pPr>
          </w:p>
        </w:tc>
        <w:tc>
          <w:tcPr>
            <w:tcW w:w="120" w:type="dxa"/>
            <w:vAlign w:val="bottom"/>
            <w:tcBorders>
              <w:bottom w:val="single" w:sz="8" w:color="CCFFCC"/>
            </w:tcBorders>
            <w:vMerge w:val="continue"/>
            <w:shd w:val="clear" w:color="auto" w:fill="CCFFCC"/>
          </w:tcPr>
          <w:p>
            <w:pPr>
              <w:spacing w:after="0"/>
              <w:rPr>
                <w:sz w:val="20"/>
                <w:szCs w:val="20"/>
                <w:color w:val="auto"/>
              </w:rPr>
            </w:pPr>
          </w:p>
        </w:tc>
        <w:tc>
          <w:tcPr>
            <w:tcW w:w="84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84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84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940" w:type="dxa"/>
            <w:vAlign w:val="bottom"/>
            <w:tcBorders>
              <w:bottom w:val="single" w:sz="8" w:color="auto"/>
            </w:tcBorders>
            <w:vMerge w:val="continue"/>
            <w:shd w:val="clear" w:color="auto" w:fill="CCFFC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5864225</wp:posOffset>
            </wp:positionH>
            <wp:positionV relativeFrom="paragraph">
              <wp:posOffset>-1083945</wp:posOffset>
            </wp:positionV>
            <wp:extent cx="9398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-25400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-8255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-25400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-8255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-25400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-8255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-25400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-8255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-25400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-8255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-25400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-8255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-25400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-8255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 includes the following components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84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20" w:type="dxa"/>
            <w:vAlign w:val="bottom"/>
          </w:tcPr>
          <w:p>
            <w:pPr>
              <w:spacing w:after="0"/>
              <w:rPr>
                <w:sz w:val="12"/>
                <w:szCs w:val="12"/>
                <w:color w:val="auto"/>
              </w:rPr>
            </w:pPr>
          </w:p>
        </w:tc>
        <w:tc>
          <w:tcPr>
            <w:tcW w:w="82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2"/>
                <w:szCs w:val="12"/>
                <w:color w:val="auto"/>
              </w:rPr>
            </w:pPr>
          </w:p>
        </w:tc>
        <w:tc>
          <w:tcPr>
            <w:tcW w:w="82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20" w:type="dxa"/>
            <w:vAlign w:val="bottom"/>
          </w:tcPr>
          <w:p>
            <w:pPr>
              <w:spacing w:after="0"/>
              <w:rPr>
                <w:sz w:val="12"/>
                <w:szCs w:val="12"/>
                <w:color w:val="auto"/>
              </w:rPr>
            </w:pPr>
          </w:p>
        </w:tc>
        <w:tc>
          <w:tcPr>
            <w:tcW w:w="84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00" w:type="dxa"/>
            <w:vAlign w:val="bottom"/>
          </w:tcPr>
          <w:p>
            <w:pPr>
              <w:spacing w:after="0"/>
              <w:rPr>
                <w:sz w:val="12"/>
                <w:szCs w:val="12"/>
                <w:color w:val="auto"/>
              </w:rPr>
            </w:pPr>
          </w:p>
        </w:tc>
        <w:tc>
          <w:tcPr>
            <w:tcW w:w="94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0" w:type="dxa"/>
            <w:vAlign w:val="bottom"/>
          </w:tcPr>
          <w:p>
            <w:pPr>
              <w:spacing w:after="0"/>
              <w:rPr>
                <w:sz w:val="1"/>
                <w:szCs w:val="1"/>
                <w:color w:val="auto"/>
              </w:rPr>
            </w:pPr>
          </w:p>
        </w:tc>
      </w:tr>
      <w:tr>
        <w:trPr>
          <w:trHeight w:val="210"/>
        </w:trPr>
        <w:tc>
          <w:tcPr>
            <w:tcW w:w="1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9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0" w:type="dxa"/>
            <w:vAlign w:val="bottom"/>
          </w:tcPr>
          <w:p>
            <w:pPr>
              <w:spacing w:after="0"/>
              <w:rPr>
                <w:sz w:val="1"/>
                <w:szCs w:val="1"/>
                <w:color w:val="auto"/>
              </w:rPr>
            </w:pPr>
          </w:p>
        </w:tc>
      </w:tr>
      <w:tr>
        <w:trPr>
          <w:trHeight w:val="198"/>
        </w:trPr>
        <w:tc>
          <w:tcPr>
            <w:tcW w:w="1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gains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(losses)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r>
        <w:trPr>
          <w:trHeight w:val="198"/>
        </w:trPr>
        <w:tc>
          <w:tcPr>
            <w:tcW w:w="170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Other non-operating</w:t>
            </w:r>
          </w:p>
        </w:tc>
        <w:tc>
          <w:tcPr>
            <w:tcW w:w="8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vMerge w:val="restart"/>
            <w:shd w:val="clear" w:color="auto" w:fill="CCFFCC"/>
          </w:tcPr>
          <w:p>
            <w:pPr>
              <w:spacing w:after="0"/>
              <w:rPr>
                <w:sz w:val="17"/>
                <w:szCs w:val="17"/>
                <w:color w:val="auto"/>
              </w:rPr>
            </w:pPr>
          </w:p>
        </w:tc>
        <w:tc>
          <w:tcPr>
            <w:tcW w:w="82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vMerge w:val="restart"/>
            <w:shd w:val="clear" w:color="auto" w:fill="CCFFCC"/>
          </w:tcPr>
          <w:p>
            <w:pPr>
              <w:spacing w:after="0"/>
              <w:rPr>
                <w:sz w:val="17"/>
                <w:szCs w:val="17"/>
                <w:color w:val="auto"/>
              </w:rPr>
            </w:pPr>
          </w:p>
        </w:tc>
        <w:tc>
          <w:tcPr>
            <w:tcW w:w="82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vMerge w:val="restart"/>
            <w:shd w:val="clear" w:color="auto" w:fill="CCFFCC"/>
          </w:tcPr>
          <w:p>
            <w:pPr>
              <w:spacing w:after="0"/>
              <w:rPr>
                <w:sz w:val="17"/>
                <w:szCs w:val="17"/>
                <w:color w:val="auto"/>
              </w:rPr>
            </w:pPr>
          </w:p>
        </w:tc>
        <w:tc>
          <w:tcPr>
            <w:tcW w:w="9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vMerge w:val="restart"/>
            <w:shd w:val="clear" w:color="auto" w:fill="CCFFCC"/>
          </w:tcPr>
          <w:p>
            <w:pPr>
              <w:spacing w:after="0"/>
              <w:rPr>
                <w:sz w:val="17"/>
                <w:szCs w:val="17"/>
                <w:color w:val="auto"/>
              </w:rPr>
            </w:pPr>
          </w:p>
        </w:tc>
        <w:tc>
          <w:tcPr>
            <w:tcW w:w="86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vMerge w:val="restart"/>
            <w:shd w:val="clear" w:color="auto" w:fill="CCFFCC"/>
          </w:tcPr>
          <w:p>
            <w:pPr>
              <w:spacing w:after="0"/>
              <w:rPr>
                <w:sz w:val="17"/>
                <w:szCs w:val="17"/>
                <w:color w:val="auto"/>
              </w:rPr>
            </w:pPr>
          </w:p>
        </w:tc>
        <w:tc>
          <w:tcPr>
            <w:tcW w:w="8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vMerge w:val="restart"/>
            <w:shd w:val="clear" w:color="auto" w:fill="CCFFCC"/>
          </w:tcPr>
          <w:p>
            <w:pPr>
              <w:spacing w:after="0"/>
              <w:rPr>
                <w:sz w:val="17"/>
                <w:szCs w:val="17"/>
                <w:color w:val="auto"/>
              </w:rPr>
            </w:pPr>
          </w:p>
        </w:tc>
        <w:tc>
          <w:tcPr>
            <w:tcW w:w="8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vMerge w:val="restart"/>
            <w:shd w:val="clear" w:color="auto" w:fill="CCFFCC"/>
          </w:tcPr>
          <w:p>
            <w:pPr>
              <w:spacing w:after="0"/>
              <w:rPr>
                <w:sz w:val="17"/>
                <w:szCs w:val="17"/>
                <w:color w:val="auto"/>
              </w:rPr>
            </w:pPr>
          </w:p>
        </w:tc>
        <w:tc>
          <w:tcPr>
            <w:tcW w:w="8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FFCC"/>
          </w:tcPr>
          <w:p>
            <w:pPr>
              <w:spacing w:after="0"/>
              <w:rPr>
                <w:sz w:val="17"/>
                <w:szCs w:val="17"/>
                <w:color w:val="auto"/>
              </w:rPr>
            </w:pPr>
          </w:p>
        </w:tc>
        <w:tc>
          <w:tcPr>
            <w:tcW w:w="8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vMerge w:val="restart"/>
            <w:shd w:val="clear" w:color="auto" w:fill="CCFFCC"/>
          </w:tcPr>
          <w:p>
            <w:pPr>
              <w:spacing w:after="0"/>
              <w:rPr>
                <w:sz w:val="17"/>
                <w:szCs w:val="17"/>
                <w:color w:val="auto"/>
              </w:rPr>
            </w:pPr>
          </w:p>
        </w:tc>
        <w:tc>
          <w:tcPr>
            <w:tcW w:w="9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1"/>
        </w:trPr>
        <w:tc>
          <w:tcPr>
            <w:tcW w:w="170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income (expense)</w:t>
            </w:r>
          </w:p>
        </w:tc>
        <w:tc>
          <w:tcPr>
            <w:tcW w:w="840" w:type="dxa"/>
            <w:vAlign w:val="bottom"/>
            <w:tcBorders>
              <w:bottom w:val="single" w:sz="8" w:color="auto"/>
            </w:tcBorders>
            <w:vMerge w:val="continue"/>
            <w:shd w:val="clear" w:color="auto" w:fill="CCFFCC"/>
          </w:tcPr>
          <w:p>
            <w:pPr>
              <w:spacing w:after="0"/>
              <w:rPr>
                <w:sz w:val="19"/>
                <w:szCs w:val="19"/>
                <w:color w:val="auto"/>
              </w:rPr>
            </w:pPr>
          </w:p>
        </w:tc>
        <w:tc>
          <w:tcPr>
            <w:tcW w:w="120" w:type="dxa"/>
            <w:vAlign w:val="bottom"/>
            <w:tcBorders>
              <w:bottom w:val="single" w:sz="8" w:color="CCFFCC"/>
            </w:tcBorders>
            <w:vMerge w:val="continue"/>
            <w:shd w:val="clear" w:color="auto" w:fill="CCFFCC"/>
          </w:tcPr>
          <w:p>
            <w:pPr>
              <w:spacing w:after="0"/>
              <w:rPr>
                <w:sz w:val="19"/>
                <w:szCs w:val="19"/>
                <w:color w:val="auto"/>
              </w:rPr>
            </w:pPr>
          </w:p>
        </w:tc>
        <w:tc>
          <w:tcPr>
            <w:tcW w:w="820" w:type="dxa"/>
            <w:vAlign w:val="bottom"/>
            <w:tcBorders>
              <w:bottom w:val="single" w:sz="8" w:color="auto"/>
            </w:tcBorders>
            <w:vMerge w:val="continue"/>
            <w:shd w:val="clear" w:color="auto" w:fill="CCFFCC"/>
          </w:tcPr>
          <w:p>
            <w:pPr>
              <w:spacing w:after="0"/>
              <w:rPr>
                <w:sz w:val="19"/>
                <w:szCs w:val="19"/>
                <w:color w:val="auto"/>
              </w:rPr>
            </w:pPr>
          </w:p>
        </w:tc>
        <w:tc>
          <w:tcPr>
            <w:tcW w:w="100" w:type="dxa"/>
            <w:vAlign w:val="bottom"/>
            <w:tcBorders>
              <w:bottom w:val="single" w:sz="8" w:color="CCFFCC"/>
            </w:tcBorders>
            <w:vMerge w:val="continue"/>
            <w:shd w:val="clear" w:color="auto" w:fill="CCFFCC"/>
          </w:tcPr>
          <w:p>
            <w:pPr>
              <w:spacing w:after="0"/>
              <w:rPr>
                <w:sz w:val="19"/>
                <w:szCs w:val="19"/>
                <w:color w:val="auto"/>
              </w:rPr>
            </w:pPr>
          </w:p>
        </w:tc>
        <w:tc>
          <w:tcPr>
            <w:tcW w:w="820" w:type="dxa"/>
            <w:vAlign w:val="bottom"/>
            <w:tcBorders>
              <w:bottom w:val="single" w:sz="8" w:color="auto"/>
            </w:tcBorders>
            <w:vMerge w:val="continue"/>
            <w:shd w:val="clear" w:color="auto" w:fill="CCFFCC"/>
          </w:tcPr>
          <w:p>
            <w:pPr>
              <w:spacing w:after="0"/>
              <w:rPr>
                <w:sz w:val="19"/>
                <w:szCs w:val="19"/>
                <w:color w:val="auto"/>
              </w:rPr>
            </w:pPr>
          </w:p>
        </w:tc>
        <w:tc>
          <w:tcPr>
            <w:tcW w:w="120" w:type="dxa"/>
            <w:vAlign w:val="bottom"/>
            <w:tcBorders>
              <w:bottom w:val="single" w:sz="8" w:color="CCFFCC"/>
            </w:tcBorders>
            <w:vMerge w:val="continue"/>
            <w:shd w:val="clear" w:color="auto" w:fill="CCFFCC"/>
          </w:tcPr>
          <w:p>
            <w:pPr>
              <w:spacing w:after="0"/>
              <w:rPr>
                <w:sz w:val="19"/>
                <w:szCs w:val="19"/>
                <w:color w:val="auto"/>
              </w:rPr>
            </w:pPr>
          </w:p>
        </w:tc>
        <w:tc>
          <w:tcPr>
            <w:tcW w:w="940" w:type="dxa"/>
            <w:vAlign w:val="bottom"/>
            <w:tcBorders>
              <w:bottom w:val="single" w:sz="8" w:color="auto"/>
            </w:tcBorders>
            <w:vMerge w:val="continue"/>
            <w:shd w:val="clear" w:color="auto" w:fill="CCFFCC"/>
          </w:tcPr>
          <w:p>
            <w:pPr>
              <w:spacing w:after="0"/>
              <w:rPr>
                <w:sz w:val="19"/>
                <w:szCs w:val="19"/>
                <w:color w:val="auto"/>
              </w:rPr>
            </w:pPr>
          </w:p>
        </w:tc>
        <w:tc>
          <w:tcPr>
            <w:tcW w:w="100" w:type="dxa"/>
            <w:vAlign w:val="bottom"/>
            <w:tcBorders>
              <w:bottom w:val="single" w:sz="8" w:color="CCFFCC"/>
            </w:tcBorders>
            <w:vMerge w:val="continue"/>
            <w:shd w:val="clear" w:color="auto" w:fill="CCFFCC"/>
          </w:tcPr>
          <w:p>
            <w:pPr>
              <w:spacing w:after="0"/>
              <w:rPr>
                <w:sz w:val="19"/>
                <w:szCs w:val="19"/>
                <w:color w:val="auto"/>
              </w:rPr>
            </w:pPr>
          </w:p>
        </w:tc>
        <w:tc>
          <w:tcPr>
            <w:tcW w:w="860" w:type="dxa"/>
            <w:vAlign w:val="bottom"/>
            <w:tcBorders>
              <w:bottom w:val="single" w:sz="8" w:color="auto"/>
            </w:tcBorders>
            <w:vMerge w:val="continue"/>
            <w:shd w:val="clear" w:color="auto" w:fill="CCFFCC"/>
          </w:tcPr>
          <w:p>
            <w:pPr>
              <w:spacing w:after="0"/>
              <w:rPr>
                <w:sz w:val="19"/>
                <w:szCs w:val="19"/>
                <w:color w:val="auto"/>
              </w:rPr>
            </w:pPr>
          </w:p>
        </w:tc>
        <w:tc>
          <w:tcPr>
            <w:tcW w:w="100" w:type="dxa"/>
            <w:vAlign w:val="bottom"/>
            <w:tcBorders>
              <w:bottom w:val="single" w:sz="8" w:color="CCFFCC"/>
            </w:tcBorders>
            <w:vMerge w:val="continue"/>
            <w:shd w:val="clear" w:color="auto" w:fill="CCFFCC"/>
          </w:tcPr>
          <w:p>
            <w:pPr>
              <w:spacing w:after="0"/>
              <w:rPr>
                <w:sz w:val="19"/>
                <w:szCs w:val="19"/>
                <w:color w:val="auto"/>
              </w:rPr>
            </w:pPr>
          </w:p>
        </w:tc>
        <w:tc>
          <w:tcPr>
            <w:tcW w:w="840" w:type="dxa"/>
            <w:vAlign w:val="bottom"/>
            <w:tcBorders>
              <w:bottom w:val="single" w:sz="8" w:color="auto"/>
            </w:tcBorders>
            <w:vMerge w:val="continue"/>
            <w:shd w:val="clear" w:color="auto" w:fill="CCFFCC"/>
          </w:tcPr>
          <w:p>
            <w:pPr>
              <w:spacing w:after="0"/>
              <w:rPr>
                <w:sz w:val="19"/>
                <w:szCs w:val="19"/>
                <w:color w:val="auto"/>
              </w:rPr>
            </w:pPr>
          </w:p>
        </w:tc>
        <w:tc>
          <w:tcPr>
            <w:tcW w:w="120" w:type="dxa"/>
            <w:vAlign w:val="bottom"/>
            <w:tcBorders>
              <w:bottom w:val="single" w:sz="8" w:color="CCFFCC"/>
            </w:tcBorders>
            <w:vMerge w:val="continue"/>
            <w:shd w:val="clear" w:color="auto" w:fill="CCFFCC"/>
          </w:tcPr>
          <w:p>
            <w:pPr>
              <w:spacing w:after="0"/>
              <w:rPr>
                <w:sz w:val="19"/>
                <w:szCs w:val="19"/>
                <w:color w:val="auto"/>
              </w:rPr>
            </w:pPr>
          </w:p>
        </w:tc>
        <w:tc>
          <w:tcPr>
            <w:tcW w:w="840" w:type="dxa"/>
            <w:vAlign w:val="bottom"/>
            <w:tcBorders>
              <w:bottom w:val="single" w:sz="8" w:color="auto"/>
            </w:tcBorders>
            <w:vMerge w:val="continue"/>
            <w:shd w:val="clear" w:color="auto" w:fill="CCFFCC"/>
          </w:tcPr>
          <w:p>
            <w:pPr>
              <w:spacing w:after="0"/>
              <w:rPr>
                <w:sz w:val="19"/>
                <w:szCs w:val="19"/>
                <w:color w:val="auto"/>
              </w:rPr>
            </w:pPr>
          </w:p>
        </w:tc>
        <w:tc>
          <w:tcPr>
            <w:tcW w:w="100" w:type="dxa"/>
            <w:vAlign w:val="bottom"/>
            <w:tcBorders>
              <w:bottom w:val="single" w:sz="8" w:color="CCFFCC"/>
            </w:tcBorders>
            <w:vMerge w:val="continue"/>
            <w:shd w:val="clear" w:color="auto" w:fill="CCFFCC"/>
          </w:tcPr>
          <w:p>
            <w:pPr>
              <w:spacing w:after="0"/>
              <w:rPr>
                <w:sz w:val="19"/>
                <w:szCs w:val="19"/>
                <w:color w:val="auto"/>
              </w:rPr>
            </w:pPr>
          </w:p>
        </w:tc>
        <w:tc>
          <w:tcPr>
            <w:tcW w:w="840" w:type="dxa"/>
            <w:vAlign w:val="bottom"/>
            <w:tcBorders>
              <w:bottom w:val="single" w:sz="8" w:color="auto"/>
            </w:tcBorders>
            <w:vMerge w:val="continue"/>
            <w:shd w:val="clear" w:color="auto" w:fill="CCFFCC"/>
          </w:tcPr>
          <w:p>
            <w:pPr>
              <w:spacing w:after="0"/>
              <w:rPr>
                <w:sz w:val="19"/>
                <w:szCs w:val="19"/>
                <w:color w:val="auto"/>
              </w:rPr>
            </w:pPr>
          </w:p>
        </w:tc>
        <w:tc>
          <w:tcPr>
            <w:tcW w:w="100" w:type="dxa"/>
            <w:vAlign w:val="bottom"/>
            <w:tcBorders>
              <w:bottom w:val="single" w:sz="8" w:color="CCFFCC"/>
            </w:tcBorders>
            <w:vMerge w:val="continue"/>
            <w:shd w:val="clear" w:color="auto" w:fill="CCFFCC"/>
          </w:tcPr>
          <w:p>
            <w:pPr>
              <w:spacing w:after="0"/>
              <w:rPr>
                <w:sz w:val="19"/>
                <w:szCs w:val="19"/>
                <w:color w:val="auto"/>
              </w:rPr>
            </w:pPr>
          </w:p>
        </w:tc>
        <w:tc>
          <w:tcPr>
            <w:tcW w:w="840" w:type="dxa"/>
            <w:vAlign w:val="bottom"/>
            <w:tcBorders>
              <w:bottom w:val="single" w:sz="8" w:color="auto"/>
            </w:tcBorders>
            <w:vMerge w:val="continue"/>
            <w:shd w:val="clear" w:color="auto" w:fill="CCFFCC"/>
          </w:tcPr>
          <w:p>
            <w:pPr>
              <w:spacing w:after="0"/>
              <w:rPr>
                <w:sz w:val="19"/>
                <w:szCs w:val="19"/>
                <w:color w:val="auto"/>
              </w:rPr>
            </w:pPr>
          </w:p>
        </w:tc>
        <w:tc>
          <w:tcPr>
            <w:tcW w:w="100" w:type="dxa"/>
            <w:vAlign w:val="bottom"/>
            <w:tcBorders>
              <w:bottom w:val="single" w:sz="8" w:color="CCFFCC"/>
            </w:tcBorders>
            <w:vMerge w:val="continue"/>
            <w:shd w:val="clear" w:color="auto" w:fill="CCFFCC"/>
          </w:tcPr>
          <w:p>
            <w:pPr>
              <w:spacing w:after="0"/>
              <w:rPr>
                <w:sz w:val="19"/>
                <w:szCs w:val="19"/>
                <w:color w:val="auto"/>
              </w:rPr>
            </w:pPr>
          </w:p>
        </w:tc>
        <w:tc>
          <w:tcPr>
            <w:tcW w:w="940" w:type="dxa"/>
            <w:vAlign w:val="bottom"/>
            <w:tcBorders>
              <w:bottom w:val="single" w:sz="8" w:color="auto"/>
            </w:tcBorders>
            <w:vMerge w:val="continue"/>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$914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$1,996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$5,218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$1,337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$715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$2,604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$1,438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$6,094</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-170815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-170815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-170815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-170815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-170815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-170815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-170815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-170815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expenditures are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42"/>
        </w:trPr>
        <w:tc>
          <w:tcPr>
            <w:tcW w:w="1700" w:type="dxa"/>
            <w:vAlign w:val="bottom"/>
          </w:tcPr>
          <w:p>
            <w:pPr>
              <w:spacing w:after="0"/>
              <w:rPr>
                <w:sz w:val="12"/>
                <w:szCs w:val="12"/>
                <w:color w:val="auto"/>
              </w:rPr>
            </w:pPr>
          </w:p>
        </w:tc>
        <w:tc>
          <w:tcPr>
            <w:tcW w:w="84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20" w:type="dxa"/>
            <w:vAlign w:val="bottom"/>
          </w:tcPr>
          <w:p>
            <w:pPr>
              <w:spacing w:after="0"/>
              <w:rPr>
                <w:sz w:val="12"/>
                <w:szCs w:val="12"/>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2"/>
                <w:szCs w:val="12"/>
                <w:color w:val="auto"/>
              </w:rPr>
            </w:pPr>
          </w:p>
        </w:tc>
        <w:tc>
          <w:tcPr>
            <w:tcW w:w="82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20" w:type="dxa"/>
            <w:vAlign w:val="bottom"/>
          </w:tcPr>
          <w:p>
            <w:pPr>
              <w:spacing w:after="0"/>
              <w:rPr>
                <w:sz w:val="12"/>
                <w:szCs w:val="12"/>
                <w:color w:val="auto"/>
              </w:rPr>
            </w:pPr>
          </w:p>
        </w:tc>
        <w:tc>
          <w:tcPr>
            <w:tcW w:w="84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2"/>
                <w:szCs w:val="12"/>
                <w:color w:val="auto"/>
              </w:rPr>
            </w:pPr>
          </w:p>
        </w:tc>
        <w:tc>
          <w:tcPr>
            <w:tcW w:w="84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00" w:type="dxa"/>
            <w:vAlign w:val="bottom"/>
          </w:tcPr>
          <w:p>
            <w:pPr>
              <w:spacing w:after="0"/>
              <w:rPr>
                <w:sz w:val="12"/>
                <w:szCs w:val="12"/>
                <w:color w:val="auto"/>
              </w:rPr>
            </w:pPr>
          </w:p>
        </w:tc>
        <w:tc>
          <w:tcPr>
            <w:tcW w:w="94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r>
      <w:tr>
        <w:trPr>
          <w:trHeight w:val="250"/>
        </w:trPr>
        <w:tc>
          <w:tcPr>
            <w:tcW w:w="1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920" w:type="dxa"/>
            <w:vAlign w:val="bottom"/>
            <w:gridSpan w:val="2"/>
            <w:shd w:val="clear" w:color="auto" w:fill="CCFFCC"/>
          </w:tcPr>
          <w:p>
            <w:pPr>
              <w:ind w:left="420"/>
              <w:spacing w:after="0"/>
              <w:rPr>
                <w:sz w:val="20"/>
                <w:szCs w:val="20"/>
                <w:color w:val="auto"/>
              </w:rPr>
            </w:pPr>
            <w:r>
              <w:rPr>
                <w:rFonts w:ascii="Times New Roman" w:cs="Times New Roman" w:eastAsia="Times New Roman" w:hAnsi="Times New Roman"/>
                <w:sz w:val="18"/>
                <w:szCs w:val="18"/>
                <w:color w:val="auto"/>
                <w:w w:val="96"/>
              </w:rPr>
              <w:t>$1,009</w:t>
            </w: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940" w:type="dxa"/>
            <w:vAlign w:val="bottom"/>
            <w:gridSpan w:val="2"/>
            <w:shd w:val="clear" w:color="auto" w:fill="CCFFCC"/>
          </w:tcPr>
          <w:p>
            <w:pPr>
              <w:ind w:left="420"/>
              <w:spacing w:after="0"/>
              <w:rPr>
                <w:sz w:val="20"/>
                <w:szCs w:val="20"/>
                <w:color w:val="auto"/>
              </w:rPr>
            </w:pPr>
            <w:r>
              <w:rPr>
                <w:rFonts w:ascii="Times New Roman" w:cs="Times New Roman" w:eastAsia="Times New Roman" w:hAnsi="Times New Roman"/>
                <w:sz w:val="18"/>
                <w:szCs w:val="18"/>
                <w:color w:val="auto"/>
              </w:rPr>
              <w:t>$5,928</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0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$15,457</w:t>
            </w:r>
          </w:p>
        </w:tc>
      </w:tr>
      <w:tr>
        <w:trPr>
          <w:trHeight w:val="1445"/>
        </w:trPr>
        <w:tc>
          <w:tcPr>
            <w:tcW w:w="1700" w:type="dxa"/>
            <w:vAlign w:val="bottom"/>
            <w:tcBorders>
              <w:top w:val="single" w:sz="8" w:color="CCFFCC"/>
              <w:bottom w:val="single" w:sz="8" w:color="9A9A9A"/>
            </w:tcBorders>
          </w:tcPr>
          <w:p>
            <w:pPr>
              <w:spacing w:after="0"/>
              <w:rPr>
                <w:sz w:val="24"/>
                <w:szCs w:val="24"/>
                <w:color w:val="auto"/>
              </w:rPr>
            </w:pPr>
          </w:p>
        </w:tc>
        <w:tc>
          <w:tcPr>
            <w:tcW w:w="84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FFCC"/>
              <w:bottom w:val="single" w:sz="8" w:color="9A9A9A"/>
            </w:tcBorders>
          </w:tcPr>
          <w:p>
            <w:pPr>
              <w:spacing w:after="0"/>
              <w:rPr>
                <w:sz w:val="24"/>
                <w:szCs w:val="24"/>
                <w:color w:val="auto"/>
              </w:rPr>
            </w:pPr>
          </w:p>
        </w:tc>
        <w:tc>
          <w:tcPr>
            <w:tcW w:w="8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8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FFCC"/>
              <w:bottom w:val="single" w:sz="8" w:color="9A9A9A"/>
            </w:tcBorders>
          </w:tcPr>
          <w:p>
            <w:pPr>
              <w:spacing w:after="0"/>
              <w:rPr>
                <w:sz w:val="24"/>
                <w:szCs w:val="24"/>
                <w:color w:val="auto"/>
              </w:rPr>
            </w:pPr>
          </w:p>
        </w:tc>
        <w:tc>
          <w:tcPr>
            <w:tcW w:w="9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8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84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FFCC"/>
              <w:bottom w:val="single" w:sz="8" w:color="9A9A9A"/>
            </w:tcBorders>
          </w:tcPr>
          <w:p>
            <w:pPr>
              <w:spacing w:after="0"/>
              <w:rPr>
                <w:sz w:val="24"/>
                <w:szCs w:val="24"/>
                <w:color w:val="auto"/>
              </w:rPr>
            </w:pPr>
          </w:p>
        </w:tc>
        <w:tc>
          <w:tcPr>
            <w:tcW w:w="8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8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8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94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-967740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-950595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-967740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-950595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-967740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-950595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-967740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-950595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-967740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-950595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-967740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-950595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-967740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-950595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-967740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-950595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-967740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-950595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 w:name="page18"/>
    <w:bookmarkEnd w:id="17"/>
    <w:p>
      <w:pPr>
        <w:ind w:left="360" w:hanging="352"/>
        <w:spacing w:after="0"/>
        <w:tabs>
          <w:tab w:leader="none" w:pos="3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Repurchase Activity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84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20" w:type="dxa"/>
            <w:vAlign w:val="bottom"/>
          </w:tcPr>
          <w:p>
            <w:pPr>
              <w:spacing w:after="0"/>
              <w:rPr>
                <w:sz w:val="12"/>
                <w:szCs w:val="12"/>
                <w:color w:val="auto"/>
              </w:rPr>
            </w:pPr>
          </w:p>
        </w:tc>
        <w:tc>
          <w:tcPr>
            <w:tcW w:w="82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2"/>
                <w:szCs w:val="12"/>
                <w:color w:val="auto"/>
              </w:rPr>
            </w:pPr>
          </w:p>
        </w:tc>
        <w:tc>
          <w:tcPr>
            <w:tcW w:w="82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20" w:type="dxa"/>
            <w:vAlign w:val="bottom"/>
          </w:tcPr>
          <w:p>
            <w:pPr>
              <w:spacing w:after="0"/>
              <w:rPr>
                <w:sz w:val="12"/>
                <w:szCs w:val="12"/>
                <w:color w:val="auto"/>
              </w:rPr>
            </w:pPr>
          </w:p>
        </w:tc>
        <w:tc>
          <w:tcPr>
            <w:tcW w:w="84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00" w:type="dxa"/>
            <w:vAlign w:val="bottom"/>
          </w:tcPr>
          <w:p>
            <w:pPr>
              <w:spacing w:after="0"/>
              <w:rPr>
                <w:sz w:val="12"/>
                <w:szCs w:val="12"/>
                <w:color w:val="auto"/>
              </w:rPr>
            </w:pPr>
          </w:p>
        </w:tc>
        <w:tc>
          <w:tcPr>
            <w:tcW w:w="94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0" w:type="dxa"/>
            <w:vAlign w:val="bottom"/>
          </w:tcPr>
          <w:p>
            <w:pPr>
              <w:spacing w:after="0"/>
              <w:rPr>
                <w:sz w:val="1"/>
                <w:szCs w:val="1"/>
                <w:color w:val="auto"/>
              </w:rPr>
            </w:pPr>
          </w:p>
        </w:tc>
      </w:tr>
      <w:tr>
        <w:trPr>
          <w:trHeight w:val="191"/>
        </w:trPr>
        <w:tc>
          <w:tcPr>
            <w:tcW w:w="1700" w:type="dxa"/>
            <w:vAlign w:val="bottom"/>
            <w:shd w:val="clear" w:color="auto" w:fill="CCFFCC"/>
          </w:tcPr>
          <w:p>
            <w:pPr>
              <w:spacing w:after="0" w:line="191" w:lineRule="exact"/>
              <w:rPr>
                <w:sz w:val="20"/>
                <w:szCs w:val="20"/>
                <w:color w:val="auto"/>
              </w:rPr>
            </w:pPr>
            <w:r>
              <w:rPr>
                <w:rFonts w:ascii="Times New Roman" w:cs="Times New Roman" w:eastAsia="Times New Roman" w:hAnsi="Times New Roman"/>
                <w:sz w:val="18"/>
                <w:szCs w:val="18"/>
                <w:color w:val="auto"/>
              </w:rPr>
              <w:t>Shares purchased</w:t>
            </w:r>
          </w:p>
        </w:tc>
        <w:tc>
          <w:tcPr>
            <w:tcW w:w="8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9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4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under publicly-</w:t>
            </w:r>
          </w:p>
        </w:tc>
        <w:tc>
          <w:tcPr>
            <w:tcW w:w="8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announced buy-back</w:t>
            </w:r>
          </w:p>
        </w:tc>
        <w:tc>
          <w:tcPr>
            <w:tcW w:w="8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program</w:t>
            </w: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9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198"/>
        </w:trPr>
        <w:tc>
          <w:tcPr>
            <w:tcW w:w="1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withheld for</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taxes due upon vesting</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vMerge w:val="restart"/>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vMerge w:val="restart"/>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vMerge w:val="restart"/>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vMerge w:val="restart"/>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vMerge w:val="restart"/>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vMerge w:val="restart"/>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vMerge w:val="restart"/>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vMerge w:val="restart"/>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vMerge w:val="restart"/>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of restricted stock</w:t>
            </w:r>
          </w:p>
        </w:tc>
        <w:tc>
          <w:tcPr>
            <w:tcW w:w="84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shares purchased</w:t>
            </w: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9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394"/>
        </w:trPr>
        <w:tc>
          <w:tcPr>
            <w:tcW w:w="1700" w:type="dxa"/>
            <w:vAlign w:val="bottom"/>
            <w:tcBorders>
              <w:top w:val="single" w:sz="8" w:color="CCFFCC"/>
            </w:tcBorders>
          </w:tcPr>
          <w:p>
            <w:pPr>
              <w:spacing w:after="0"/>
              <w:rPr>
                <w:sz w:val="20"/>
                <w:szCs w:val="20"/>
                <w:color w:val="auto"/>
              </w:rPr>
            </w:pPr>
            <w:r>
              <w:rPr>
                <w:rFonts w:ascii="Times New Roman" w:cs="Times New Roman" w:eastAsia="Times New Roman" w:hAnsi="Times New Roman"/>
                <w:sz w:val="18"/>
                <w:szCs w:val="18"/>
                <w:color w:val="auto"/>
              </w:rPr>
              <w:t>Total cash paid for</w:t>
            </w: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shares purchased under</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publicly-announced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buy-back program</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$73,411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$74,999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$49,687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$43,539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$241,636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$49,596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$49,947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$74,996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$274,539</w:t>
            </w:r>
          </w:p>
        </w:tc>
        <w:tc>
          <w:tcPr>
            <w:tcW w:w="0" w:type="dxa"/>
            <w:vAlign w:val="bottom"/>
          </w:tcPr>
          <w:p>
            <w:pPr>
              <w:spacing w:after="0"/>
              <w:rPr>
                <w:sz w:val="1"/>
                <w:szCs w:val="1"/>
                <w:color w:val="auto"/>
              </w:rPr>
            </w:pPr>
          </w:p>
        </w:tc>
      </w:tr>
      <w:tr>
        <w:trPr>
          <w:trHeight w:val="198"/>
        </w:trPr>
        <w:tc>
          <w:tcPr>
            <w:tcW w:w="170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Total cash paid for</w:t>
            </w:r>
          </w:p>
        </w:tc>
        <w:tc>
          <w:tcPr>
            <w:tcW w:w="8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shares withheld for</w:t>
            </w:r>
          </w:p>
        </w:tc>
        <w:tc>
          <w:tcPr>
            <w:tcW w:w="8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taxes due upon vesting</w:t>
            </w:r>
          </w:p>
        </w:tc>
        <w:tc>
          <w:tcPr>
            <w:tcW w:w="8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of restricted stock</w:t>
            </w: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40,423</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9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43,622</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36,447</w:t>
            </w: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39,042</w:t>
            </w:r>
          </w:p>
        </w:tc>
        <w:tc>
          <w:tcPr>
            <w:tcW w:w="0" w:type="dxa"/>
            <w:vAlign w:val="bottom"/>
          </w:tcPr>
          <w:p>
            <w:pPr>
              <w:spacing w:after="0"/>
              <w:rPr>
                <w:sz w:val="1"/>
                <w:szCs w:val="1"/>
                <w:color w:val="auto"/>
              </w:rPr>
            </w:pPr>
          </w:p>
        </w:tc>
      </w:tr>
      <w:tr>
        <w:trPr>
          <w:trHeight w:val="198"/>
        </w:trPr>
        <w:tc>
          <w:tcPr>
            <w:tcW w:w="1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cash paid for</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vMerge w:val="restart"/>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vMerge w:val="restart"/>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vMerge w:val="restart"/>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2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excise tax</w:t>
            </w:r>
          </w:p>
        </w:tc>
        <w:tc>
          <w:tcPr>
            <w:tcW w:w="84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00" w:type="dxa"/>
            <w:vAlign w:val="bottom"/>
            <w:shd w:val="clear" w:color="auto" w:fill="CCFFCC"/>
          </w:tcPr>
          <w:p>
            <w:pPr>
              <w:spacing w:after="0" w:line="191" w:lineRule="exact"/>
              <w:rPr>
                <w:sz w:val="20"/>
                <w:szCs w:val="20"/>
                <w:color w:val="auto"/>
              </w:rPr>
            </w:pPr>
            <w:r>
              <w:rPr>
                <w:rFonts w:ascii="Times New Roman" w:cs="Times New Roman" w:eastAsia="Times New Roman" w:hAnsi="Times New Roman"/>
                <w:sz w:val="18"/>
                <w:szCs w:val="18"/>
                <w:color w:val="auto"/>
              </w:rPr>
              <w:t>Total cash paid for</w:t>
            </w:r>
          </w:p>
        </w:tc>
        <w:tc>
          <w:tcPr>
            <w:tcW w:w="8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$113,834</w:t>
            </w:r>
          </w:p>
        </w:tc>
        <w:tc>
          <w:tcPr>
            <w:tcW w:w="120" w:type="dxa"/>
            <w:vAlign w:val="bottom"/>
            <w:vMerge w:val="restart"/>
            <w:shd w:val="clear" w:color="auto" w:fill="CCFFCC"/>
          </w:tcPr>
          <w:p>
            <w:pPr>
              <w:spacing w:after="0"/>
              <w:rPr>
                <w:sz w:val="16"/>
                <w:szCs w:val="16"/>
                <w:color w:val="auto"/>
              </w:rPr>
            </w:pPr>
          </w:p>
        </w:tc>
        <w:tc>
          <w:tcPr>
            <w:tcW w:w="82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$75,712</w:t>
            </w:r>
          </w:p>
        </w:tc>
        <w:tc>
          <w:tcPr>
            <w:tcW w:w="100" w:type="dxa"/>
            <w:vAlign w:val="bottom"/>
            <w:vMerge w:val="restart"/>
            <w:shd w:val="clear" w:color="auto" w:fill="CCFFCC"/>
          </w:tcPr>
          <w:p>
            <w:pPr>
              <w:spacing w:after="0"/>
              <w:rPr>
                <w:sz w:val="16"/>
                <w:szCs w:val="16"/>
                <w:color w:val="auto"/>
              </w:rPr>
            </w:pPr>
          </w:p>
        </w:tc>
        <w:tc>
          <w:tcPr>
            <w:tcW w:w="82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$51,604</w:t>
            </w:r>
          </w:p>
        </w:tc>
        <w:tc>
          <w:tcPr>
            <w:tcW w:w="120" w:type="dxa"/>
            <w:vAlign w:val="bottom"/>
            <w:vMerge w:val="restart"/>
            <w:shd w:val="clear" w:color="auto" w:fill="CCFFCC"/>
          </w:tcPr>
          <w:p>
            <w:pPr>
              <w:spacing w:after="0"/>
              <w:rPr>
                <w:sz w:val="16"/>
                <w:szCs w:val="16"/>
                <w:color w:val="auto"/>
              </w:rPr>
            </w:pPr>
          </w:p>
        </w:tc>
        <w:tc>
          <w:tcPr>
            <w:tcW w:w="9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$45,216</w:t>
            </w:r>
          </w:p>
        </w:tc>
        <w:tc>
          <w:tcPr>
            <w:tcW w:w="100" w:type="dxa"/>
            <w:vAlign w:val="bottom"/>
            <w:vMerge w:val="restart"/>
            <w:shd w:val="clear" w:color="auto" w:fill="CCFFCC"/>
          </w:tcPr>
          <w:p>
            <w:pPr>
              <w:spacing w:after="0"/>
              <w:rPr>
                <w:sz w:val="16"/>
                <w:szCs w:val="16"/>
                <w:color w:val="auto"/>
              </w:rPr>
            </w:pPr>
          </w:p>
        </w:tc>
        <w:tc>
          <w:tcPr>
            <w:tcW w:w="86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$286,366</w:t>
            </w:r>
          </w:p>
        </w:tc>
        <w:tc>
          <w:tcPr>
            <w:tcW w:w="100" w:type="dxa"/>
            <w:vAlign w:val="bottom"/>
            <w:vMerge w:val="restart"/>
            <w:shd w:val="clear" w:color="auto" w:fill="CCFFCC"/>
          </w:tcPr>
          <w:p>
            <w:pPr>
              <w:spacing w:after="0"/>
              <w:rPr>
                <w:sz w:val="16"/>
                <w:szCs w:val="16"/>
                <w:color w:val="auto"/>
              </w:rPr>
            </w:pPr>
          </w:p>
        </w:tc>
        <w:tc>
          <w:tcPr>
            <w:tcW w:w="8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$136,447</w:t>
            </w:r>
          </w:p>
        </w:tc>
        <w:tc>
          <w:tcPr>
            <w:tcW w:w="120" w:type="dxa"/>
            <w:vAlign w:val="bottom"/>
            <w:vMerge w:val="restart"/>
            <w:shd w:val="clear" w:color="auto" w:fill="CCFFCC"/>
          </w:tcPr>
          <w:p>
            <w:pPr>
              <w:spacing w:after="0"/>
              <w:rPr>
                <w:sz w:val="16"/>
                <w:szCs w:val="16"/>
                <w:color w:val="auto"/>
              </w:rPr>
            </w:pPr>
          </w:p>
        </w:tc>
        <w:tc>
          <w:tcPr>
            <w:tcW w:w="8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$50,191</w:t>
            </w:r>
          </w:p>
        </w:tc>
        <w:tc>
          <w:tcPr>
            <w:tcW w:w="100" w:type="dxa"/>
            <w:vAlign w:val="bottom"/>
            <w:vMerge w:val="restart"/>
            <w:shd w:val="clear" w:color="auto" w:fill="CCFFCC"/>
          </w:tcPr>
          <w:p>
            <w:pPr>
              <w:spacing w:after="0"/>
              <w:rPr>
                <w:sz w:val="16"/>
                <w:szCs w:val="16"/>
                <w:color w:val="auto"/>
              </w:rPr>
            </w:pPr>
          </w:p>
        </w:tc>
        <w:tc>
          <w:tcPr>
            <w:tcW w:w="8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$51,549</w:t>
            </w:r>
          </w:p>
        </w:tc>
        <w:tc>
          <w:tcPr>
            <w:tcW w:w="100" w:type="dxa"/>
            <w:vAlign w:val="bottom"/>
            <w:vMerge w:val="restart"/>
            <w:shd w:val="clear" w:color="auto" w:fill="CCFFCC"/>
          </w:tcPr>
          <w:p>
            <w:pPr>
              <w:spacing w:after="0"/>
              <w:rPr>
                <w:sz w:val="16"/>
                <w:szCs w:val="16"/>
                <w:color w:val="auto"/>
              </w:rPr>
            </w:pPr>
          </w:p>
        </w:tc>
        <w:tc>
          <w:tcPr>
            <w:tcW w:w="8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$76,975</w:t>
            </w:r>
          </w:p>
        </w:tc>
        <w:tc>
          <w:tcPr>
            <w:tcW w:w="100" w:type="dxa"/>
            <w:vAlign w:val="bottom"/>
            <w:vMerge w:val="restart"/>
            <w:shd w:val="clear" w:color="auto" w:fill="CCFFCC"/>
          </w:tcPr>
          <w:p>
            <w:pPr>
              <w:spacing w:after="0"/>
              <w:rPr>
                <w:sz w:val="16"/>
                <w:szCs w:val="16"/>
                <w:color w:val="auto"/>
              </w:rPr>
            </w:pPr>
          </w:p>
        </w:tc>
        <w:tc>
          <w:tcPr>
            <w:tcW w:w="9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$315,162</w:t>
            </w:r>
          </w:p>
        </w:tc>
        <w:tc>
          <w:tcPr>
            <w:tcW w:w="0" w:type="dxa"/>
            <w:vAlign w:val="bottom"/>
          </w:tcPr>
          <w:p>
            <w:pPr>
              <w:spacing w:after="0"/>
              <w:rPr>
                <w:sz w:val="1"/>
                <w:szCs w:val="1"/>
                <w:color w:val="auto"/>
              </w:rPr>
            </w:pPr>
          </w:p>
        </w:tc>
      </w:tr>
      <w:tr>
        <w:trPr>
          <w:trHeight w:val="234"/>
        </w:trPr>
        <w:tc>
          <w:tcPr>
            <w:tcW w:w="1700" w:type="dxa"/>
            <w:vAlign w:val="bottom"/>
            <w:tcBorders>
              <w:bottom w:val="single" w:sz="8" w:color="CCFFCC"/>
            </w:tcBorders>
            <w:shd w:val="clear" w:color="auto" w:fill="CCFFCC"/>
          </w:tcPr>
          <w:p>
            <w:pPr>
              <w:spacing w:after="0" w:line="194" w:lineRule="exact"/>
              <w:rPr>
                <w:sz w:val="20"/>
                <w:szCs w:val="20"/>
                <w:color w:val="auto"/>
              </w:rPr>
            </w:pPr>
            <w:r>
              <w:rPr>
                <w:rFonts w:ascii="Times New Roman" w:cs="Times New Roman" w:eastAsia="Times New Roman" w:hAnsi="Times New Roman"/>
                <w:sz w:val="18"/>
                <w:szCs w:val="18"/>
                <w:color w:val="auto"/>
              </w:rPr>
              <w:t>shares repurchased</w:t>
            </w:r>
          </w:p>
        </w:tc>
        <w:tc>
          <w:tcPr>
            <w:tcW w:w="840" w:type="dxa"/>
            <w:vAlign w:val="bottom"/>
            <w:tcBorders>
              <w:bottom w:val="single" w:sz="8" w:color="auto"/>
            </w:tcBorders>
            <w:vMerge w:val="continue"/>
            <w:shd w:val="clear" w:color="auto" w:fill="CCFFCC"/>
          </w:tcPr>
          <w:p>
            <w:pPr>
              <w:spacing w:after="0"/>
              <w:rPr>
                <w:sz w:val="20"/>
                <w:szCs w:val="20"/>
                <w:color w:val="auto"/>
              </w:rPr>
            </w:pPr>
          </w:p>
        </w:tc>
        <w:tc>
          <w:tcPr>
            <w:tcW w:w="120" w:type="dxa"/>
            <w:vAlign w:val="bottom"/>
            <w:tcBorders>
              <w:bottom w:val="single" w:sz="8" w:color="CCFFCC"/>
            </w:tcBorders>
            <w:vMerge w:val="continue"/>
            <w:shd w:val="clear" w:color="auto" w:fill="CCFFCC"/>
          </w:tcPr>
          <w:p>
            <w:pPr>
              <w:spacing w:after="0"/>
              <w:rPr>
                <w:sz w:val="20"/>
                <w:szCs w:val="20"/>
                <w:color w:val="auto"/>
              </w:rPr>
            </w:pPr>
          </w:p>
        </w:tc>
        <w:tc>
          <w:tcPr>
            <w:tcW w:w="82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820" w:type="dxa"/>
            <w:vAlign w:val="bottom"/>
            <w:tcBorders>
              <w:bottom w:val="single" w:sz="8" w:color="auto"/>
            </w:tcBorders>
            <w:vMerge w:val="continue"/>
            <w:shd w:val="clear" w:color="auto" w:fill="CCFFCC"/>
          </w:tcPr>
          <w:p>
            <w:pPr>
              <w:spacing w:after="0"/>
              <w:rPr>
                <w:sz w:val="20"/>
                <w:szCs w:val="20"/>
                <w:color w:val="auto"/>
              </w:rPr>
            </w:pPr>
          </w:p>
        </w:tc>
        <w:tc>
          <w:tcPr>
            <w:tcW w:w="120" w:type="dxa"/>
            <w:vAlign w:val="bottom"/>
            <w:tcBorders>
              <w:bottom w:val="single" w:sz="8" w:color="CCFFCC"/>
            </w:tcBorders>
            <w:vMerge w:val="continue"/>
            <w:shd w:val="clear" w:color="auto" w:fill="CCFFCC"/>
          </w:tcPr>
          <w:p>
            <w:pPr>
              <w:spacing w:after="0"/>
              <w:rPr>
                <w:sz w:val="20"/>
                <w:szCs w:val="20"/>
                <w:color w:val="auto"/>
              </w:rPr>
            </w:pPr>
          </w:p>
        </w:tc>
        <w:tc>
          <w:tcPr>
            <w:tcW w:w="94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86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840" w:type="dxa"/>
            <w:vAlign w:val="bottom"/>
            <w:tcBorders>
              <w:bottom w:val="single" w:sz="8" w:color="auto"/>
            </w:tcBorders>
            <w:vMerge w:val="continue"/>
            <w:shd w:val="clear" w:color="auto" w:fill="CCFFCC"/>
          </w:tcPr>
          <w:p>
            <w:pPr>
              <w:spacing w:after="0"/>
              <w:rPr>
                <w:sz w:val="20"/>
                <w:szCs w:val="20"/>
                <w:color w:val="auto"/>
              </w:rPr>
            </w:pPr>
          </w:p>
        </w:tc>
        <w:tc>
          <w:tcPr>
            <w:tcW w:w="120" w:type="dxa"/>
            <w:vAlign w:val="bottom"/>
            <w:tcBorders>
              <w:bottom w:val="single" w:sz="8" w:color="CCFFCC"/>
            </w:tcBorders>
            <w:vMerge w:val="continue"/>
            <w:shd w:val="clear" w:color="auto" w:fill="CCFFCC"/>
          </w:tcPr>
          <w:p>
            <w:pPr>
              <w:spacing w:after="0"/>
              <w:rPr>
                <w:sz w:val="20"/>
                <w:szCs w:val="20"/>
                <w:color w:val="auto"/>
              </w:rPr>
            </w:pPr>
          </w:p>
        </w:tc>
        <w:tc>
          <w:tcPr>
            <w:tcW w:w="84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84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84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940" w:type="dxa"/>
            <w:vAlign w:val="bottom"/>
            <w:tcBorders>
              <w:bottom w:val="single" w:sz="8" w:color="auto"/>
            </w:tcBorders>
            <w:vMerge w:val="continue"/>
            <w:shd w:val="clear" w:color="auto" w:fill="CCFFC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-1807845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-1791335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-1807845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-1791335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-1807845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-1791335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-1807845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-1791335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-1807845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-1791335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-1807845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-1791335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-1807845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-1791335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-1807845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-1791335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-1807845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-1791335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-25400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-25400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-25400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-25400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-25400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-25400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-25400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360" w:hanging="352"/>
        <w:spacing w:after="0"/>
        <w:tabs>
          <w:tab w:leader="none" w:pos="3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disclose revenue that we expect to recognize from our remaining performance obligations ("RPO"). Over 98% of our RPO represents cloud native subscriptions with non-cancelable terms greater than one year (including cloud-deferred revenue as well as amounts we will invoice and recognize as revenue from our performance of cloud services in future periods). Maintenance contracts are typically one year and not included in the RPO. Our RPO as of the end of each period appears below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2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3"/>
                <w:szCs w:val="13"/>
                <w:color w:val="auto"/>
              </w:rPr>
            </w:pPr>
          </w:p>
        </w:tc>
        <w:tc>
          <w:tcPr>
            <w:tcW w:w="11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1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3"/>
                <w:szCs w:val="13"/>
                <w:color w:val="auto"/>
              </w:rPr>
            </w:pPr>
          </w:p>
        </w:tc>
        <w:tc>
          <w:tcPr>
            <w:tcW w:w="11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3"/>
                <w:szCs w:val="13"/>
                <w:color w:val="auto"/>
              </w:rPr>
            </w:pPr>
          </w:p>
        </w:tc>
        <w:tc>
          <w:tcPr>
            <w:tcW w:w="11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4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26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1260" w:type="dxa"/>
            <w:vAlign w:val="bottom"/>
            <w:shd w:val="clear" w:color="auto" w:fill="CCFFCC"/>
          </w:tcPr>
          <w:p>
            <w:pPr>
              <w:spacing w:after="0" w:line="191" w:lineRule="exact"/>
              <w:rPr>
                <w:sz w:val="20"/>
                <w:szCs w:val="20"/>
                <w:color w:val="auto"/>
              </w:rPr>
            </w:pPr>
            <w:r>
              <w:rPr>
                <w:rFonts w:ascii="Times New Roman" w:cs="Times New Roman" w:eastAsia="Times New Roman" w:hAnsi="Times New Roman"/>
                <w:sz w:val="18"/>
                <w:szCs w:val="18"/>
                <w:color w:val="auto"/>
              </w:rPr>
              <w:t>Remaining</w:t>
            </w:r>
          </w:p>
        </w:tc>
        <w:tc>
          <w:tcPr>
            <w:tcW w:w="112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12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12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1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1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1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16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140" w:type="dxa"/>
            <w:vAlign w:val="bottom"/>
            <w:tcBorders>
              <w:top w:val="single" w:sz="8" w:color="auto"/>
            </w:tcBorders>
            <w:shd w:val="clear" w:color="auto" w:fill="CCFFC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Performance</w:t>
            </w: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Obligations</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$1,516,430</w:t>
            </w:r>
          </w:p>
        </w:tc>
        <w:tc>
          <w:tcPr>
            <w:tcW w:w="12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$1,601,531</w:t>
            </w:r>
          </w:p>
        </w:tc>
        <w:tc>
          <w:tcPr>
            <w:tcW w:w="12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$1,686,421</w:t>
            </w:r>
          </w:p>
        </w:tc>
        <w:tc>
          <w:tcPr>
            <w:tcW w:w="12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$1,780,400</w:t>
            </w:r>
          </w:p>
        </w:tc>
        <w:tc>
          <w:tcPr>
            <w:tcW w:w="12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$1,891,384</w:t>
            </w:r>
          </w:p>
        </w:tc>
        <w:tc>
          <w:tcPr>
            <w:tcW w:w="12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$2,013,495</w:t>
            </w:r>
          </w:p>
        </w:tc>
        <w:tc>
          <w:tcPr>
            <w:tcW w:w="12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$2,076,628</w:t>
            </w:r>
          </w:p>
        </w:tc>
        <w:tc>
          <w:tcPr>
            <w:tcW w:w="12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$2,232,234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5"/>
        </w:trPr>
        <w:tc>
          <w:tcPr>
            <w:tcW w:w="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Letter"/>
      <w:start w:val="4"/>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o"/>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o"/>
      <w:numFmt w:val="bullet"/>
      <w:start w:val="1"/>
    </w:lvl>
  </w:abstractNum>
  <w:abstractNum w:abstractNumId="9">
    <w:nsid w:val="41A7C4C9"/>
    <w:multiLevelType w:val="hybridMultilevel"/>
    <w:lvl w:ilvl="0">
      <w:lvlJc w:val="left"/>
      <w:lvlText w:val="•"/>
      <w:numFmt w:val="bullet"/>
      <w:start w:val="1"/>
    </w:lvl>
    <w:lvl w:ilvl="1">
      <w:lvlJc w:val="left"/>
      <w:lvlText w:val="o"/>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2"/>
    </w:lvl>
  </w:abstractNum>
  <w:abstractNum w:abstractNumId="13">
    <w:nsid w:val="519B500D"/>
    <w:multiLevelType w:val="hybridMultilevel"/>
    <w:lvl w:ilvl="0">
      <w:lvlJc w:val="left"/>
      <w:lvlText w:val="(%1)"/>
      <w:numFmt w:val="lowerLetter"/>
      <w:start w:val="3"/>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2"/>
    </w:lvl>
  </w:abstractNum>
  <w:abstractNum w:abstractNumId="16">
    <w:nsid w:val="7C83E458"/>
    <w:multiLevelType w:val="hybridMultilevel"/>
    <w:lvl w:ilvl="0">
      <w:lvlJc w:val="left"/>
      <w:lvlText w:val="%1."/>
      <w:numFmt w:val="decimal"/>
      <w:start w:val="3"/>
    </w:lvl>
  </w:abstractNum>
  <w:abstractNum w:abstractNumId="17">
    <w:nsid w:val="257130A3"/>
    <w:multiLevelType w:val="hybridMultilevel"/>
    <w:lvl w:ilvl="0">
      <w:lvlJc w:val="left"/>
      <w:lvlText w:val="%1."/>
      <w:numFmt w:val="decimal"/>
      <w:start w:val="4"/>
    </w:lvl>
  </w:abstractNum>
  <w:abstractNum w:abstractNumId="18">
    <w:nsid w:val="62BBD95A"/>
    <w:multiLevelType w:val="hybridMultilevel"/>
    <w:lvl w:ilvl="0">
      <w:lvlJc w:val="left"/>
      <w:lvlText w:val="%1."/>
      <w:numFmt w:val="decimal"/>
      <w:start w:val="5"/>
    </w:lvl>
  </w:abstractNum>
  <w:abstractNum w:abstractNumId="19">
    <w:nsid w:val="436C6125"/>
    <w:multiLevelType w:val="hybridMultilevel"/>
    <w:lvl w:ilvl="0">
      <w:lvlJc w:val="left"/>
      <w:lvlText w:val="%1."/>
      <w:numFmt w:val="decimal"/>
      <w:start w:val="6"/>
    </w:lvl>
  </w:abstractNum>
  <w:abstractNum w:abstractNumId="20">
    <w:nsid w:val="628C895D"/>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2026-01-27T15:49:07Z</dcterms:created>
  <dcterms:modified xsi:type="dcterms:W3CDTF">2026-01-27T15:49:07Z</dcterms:modified>
</cp:coreProperties>
</file>